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873008" w14:paraId="78C4594D" w14:textId="77777777" w:rsidTr="00610F1A">
        <w:tc>
          <w:tcPr>
            <w:tcW w:w="3299" w:type="dxa"/>
            <w:shd w:val="clear" w:color="auto" w:fill="auto"/>
          </w:tcPr>
          <w:p w14:paraId="1D669E85" w14:textId="4F10CA53" w:rsidR="00610F1A" w:rsidRPr="00873008" w:rsidRDefault="00610F1A" w:rsidP="00610F1A">
            <w:pPr>
              <w:jc w:val="center"/>
              <w:rPr>
                <w:sz w:val="24"/>
                <w:szCs w:val="24"/>
              </w:rPr>
            </w:pPr>
            <w:r w:rsidRPr="00873008">
              <w:rPr>
                <w:sz w:val="24"/>
                <w:szCs w:val="24"/>
              </w:rPr>
              <w:t xml:space="preserve">Приложение </w:t>
            </w:r>
            <w:bookmarkStart w:id="0" w:name="_GoBack"/>
            <w:bookmarkEnd w:id="0"/>
          </w:p>
          <w:p w14:paraId="0BEF5CB6" w14:textId="77777777" w:rsidR="00610F1A" w:rsidRPr="00873008" w:rsidRDefault="00610F1A" w:rsidP="0089486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873008" w:rsidRDefault="00610F1A" w:rsidP="00610F1A">
      <w:pPr>
        <w:jc w:val="both"/>
        <w:rPr>
          <w:sz w:val="24"/>
          <w:szCs w:val="24"/>
        </w:rPr>
      </w:pPr>
      <w:r w:rsidRPr="00873008">
        <w:rPr>
          <w:color w:val="FFFFFF"/>
          <w:sz w:val="24"/>
          <w:szCs w:val="24"/>
        </w:rPr>
        <w:t>-913/</w:t>
      </w:r>
    </w:p>
    <w:p w14:paraId="1FA2DF1A" w14:textId="3B5B6281" w:rsidR="00610F1A" w:rsidRPr="00873008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873008" w:rsidRDefault="00610F1A" w:rsidP="00610F1A">
      <w:pPr>
        <w:jc w:val="center"/>
        <w:rPr>
          <w:b/>
          <w:sz w:val="24"/>
          <w:szCs w:val="24"/>
        </w:rPr>
      </w:pPr>
      <w:r w:rsidRPr="00873008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Pr="00873008" w:rsidRDefault="00610F1A" w:rsidP="00610F1A">
      <w:pPr>
        <w:jc w:val="center"/>
        <w:rPr>
          <w:b/>
          <w:sz w:val="24"/>
          <w:szCs w:val="24"/>
        </w:rPr>
      </w:pPr>
      <w:r w:rsidRPr="00873008">
        <w:rPr>
          <w:b/>
          <w:sz w:val="24"/>
          <w:szCs w:val="24"/>
        </w:rPr>
        <w:t>(за январь</w:t>
      </w:r>
      <w:r w:rsidR="005817E1" w:rsidRPr="00873008">
        <w:rPr>
          <w:b/>
          <w:sz w:val="24"/>
          <w:szCs w:val="24"/>
        </w:rPr>
        <w:t>–</w:t>
      </w:r>
      <w:r w:rsidR="00F15D30" w:rsidRPr="00873008">
        <w:rPr>
          <w:b/>
          <w:sz w:val="24"/>
          <w:szCs w:val="24"/>
        </w:rPr>
        <w:t>декабр</w:t>
      </w:r>
      <w:r w:rsidR="005817E1" w:rsidRPr="00873008">
        <w:rPr>
          <w:b/>
          <w:sz w:val="24"/>
          <w:szCs w:val="24"/>
        </w:rPr>
        <w:t>ь</w:t>
      </w:r>
      <w:r w:rsidRPr="00873008">
        <w:rPr>
          <w:b/>
          <w:sz w:val="24"/>
          <w:szCs w:val="24"/>
        </w:rPr>
        <w:t xml:space="preserve"> 202</w:t>
      </w:r>
      <w:r w:rsidR="00371AAC" w:rsidRPr="00873008">
        <w:rPr>
          <w:b/>
          <w:sz w:val="24"/>
          <w:szCs w:val="24"/>
        </w:rPr>
        <w:t>5</w:t>
      </w:r>
      <w:r w:rsidRPr="00873008">
        <w:rPr>
          <w:b/>
          <w:sz w:val="24"/>
          <w:szCs w:val="24"/>
        </w:rPr>
        <w:t xml:space="preserve"> года)</w:t>
      </w:r>
    </w:p>
    <w:p w14:paraId="13F13C9B" w14:textId="28AED18A" w:rsidR="00610F1A" w:rsidRPr="00873008" w:rsidRDefault="00610F1A" w:rsidP="00610F1A">
      <w:pPr>
        <w:rPr>
          <w:b/>
          <w:sz w:val="24"/>
          <w:szCs w:val="24"/>
        </w:rPr>
      </w:pPr>
    </w:p>
    <w:p w14:paraId="6EA414C5" w14:textId="77777777" w:rsidR="00896DF3" w:rsidRPr="0005622B" w:rsidRDefault="00896DF3" w:rsidP="00896DF3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>
        <w:rPr>
          <w:color w:val="000000"/>
          <w:sz w:val="24"/>
          <w:szCs w:val="24"/>
        </w:rPr>
        <w:t xml:space="preserve"> Администрация Лукояновского муниципального округа Нижегородской области</w:t>
      </w:r>
    </w:p>
    <w:p w14:paraId="27BDC7BF" w14:textId="6E7B3331" w:rsidR="00896DF3" w:rsidRPr="0005622B" w:rsidRDefault="00896DF3" w:rsidP="00896DF3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>
        <w:rPr>
          <w:color w:val="000000"/>
          <w:sz w:val="24"/>
          <w:szCs w:val="24"/>
          <w:u w:val="single"/>
        </w:rPr>
        <w:t>–декабрь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873008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9"/>
        <w:gridCol w:w="3869"/>
        <w:gridCol w:w="4811"/>
        <w:gridCol w:w="3106"/>
        <w:gridCol w:w="932"/>
        <w:gridCol w:w="1889"/>
        <w:gridCol w:w="7"/>
      </w:tblGrid>
      <w:tr w:rsidR="00E342B5" w:rsidRPr="00873008" w14:paraId="1E084CC1" w14:textId="77777777" w:rsidTr="0003467E">
        <w:trPr>
          <w:gridAfter w:val="1"/>
          <w:wAfter w:w="7" w:type="dxa"/>
          <w:cantSplit/>
          <w:trHeight w:val="1134"/>
          <w:tblHeader/>
        </w:trPr>
        <w:tc>
          <w:tcPr>
            <w:tcW w:w="1119" w:type="dxa"/>
            <w:vAlign w:val="center"/>
          </w:tcPr>
          <w:p w14:paraId="68293910" w14:textId="5028681C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№ п/п </w:t>
            </w:r>
            <w:r w:rsidRPr="00873008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873008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873008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873008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873008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3869" w:type="dxa"/>
            <w:vAlign w:val="center"/>
          </w:tcPr>
          <w:p w14:paraId="107F03CA" w14:textId="56965118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811" w:type="dxa"/>
            <w:vAlign w:val="center"/>
          </w:tcPr>
          <w:p w14:paraId="44F80512" w14:textId="77777777" w:rsidR="005817E1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873008" w:rsidRDefault="005817E1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по состоянию на 01.0</w:t>
            </w:r>
            <w:r w:rsidR="00F15D30" w:rsidRPr="00873008">
              <w:rPr>
                <w:sz w:val="22"/>
                <w:szCs w:val="22"/>
              </w:rPr>
              <w:t>1</w:t>
            </w:r>
            <w:r w:rsidRPr="00873008">
              <w:rPr>
                <w:sz w:val="22"/>
                <w:szCs w:val="22"/>
              </w:rPr>
              <w:t>.202</w:t>
            </w:r>
            <w:r w:rsidR="00371AAC" w:rsidRPr="00873008">
              <w:rPr>
                <w:sz w:val="22"/>
                <w:szCs w:val="22"/>
              </w:rPr>
              <w:t>6</w:t>
            </w:r>
            <w:r w:rsidRPr="00873008">
              <w:rPr>
                <w:sz w:val="22"/>
                <w:szCs w:val="22"/>
              </w:rPr>
              <w:t xml:space="preserve"> </w:t>
            </w:r>
            <w:r w:rsidR="00E342B5" w:rsidRPr="00873008">
              <w:rPr>
                <w:sz w:val="22"/>
                <w:szCs w:val="22"/>
              </w:rPr>
              <w:t>(у</w:t>
            </w:r>
            <w:r w:rsidR="00E342B5" w:rsidRPr="00873008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106" w:type="dxa"/>
            <w:vAlign w:val="center"/>
          </w:tcPr>
          <w:p w14:paraId="2D7092BB" w14:textId="39AEB1EB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(</w:t>
            </w:r>
            <w:r w:rsidRPr="00873008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32" w:type="dxa"/>
            <w:textDirection w:val="btLr"/>
            <w:vAlign w:val="center"/>
          </w:tcPr>
          <w:p w14:paraId="1D81C111" w14:textId="050DCDFC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89" w:type="dxa"/>
            <w:vAlign w:val="center"/>
          </w:tcPr>
          <w:p w14:paraId="6BA6C3E5" w14:textId="144D930F" w:rsidR="00E342B5" w:rsidRPr="00873008" w:rsidRDefault="00E342B5" w:rsidP="005817E1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Фактическое значение</w:t>
            </w:r>
            <w:r w:rsidR="00E029DD" w:rsidRPr="00873008">
              <w:rPr>
                <w:sz w:val="22"/>
                <w:szCs w:val="22"/>
              </w:rPr>
              <w:t xml:space="preserve"> </w:t>
            </w:r>
            <w:r w:rsidR="00E029DD" w:rsidRPr="00873008">
              <w:rPr>
                <w:b/>
                <w:sz w:val="22"/>
                <w:szCs w:val="22"/>
              </w:rPr>
              <w:t>за январь</w:t>
            </w:r>
            <w:r w:rsidR="005817E1" w:rsidRPr="00873008">
              <w:rPr>
                <w:b/>
                <w:sz w:val="22"/>
                <w:szCs w:val="22"/>
              </w:rPr>
              <w:t>–</w:t>
            </w:r>
            <w:r w:rsidR="00F15D30" w:rsidRPr="00873008">
              <w:rPr>
                <w:b/>
                <w:sz w:val="22"/>
                <w:szCs w:val="22"/>
              </w:rPr>
              <w:t>декабр</w:t>
            </w:r>
            <w:r w:rsidR="00E029DD" w:rsidRPr="00873008">
              <w:rPr>
                <w:b/>
                <w:sz w:val="22"/>
                <w:szCs w:val="22"/>
              </w:rPr>
              <w:t>ь 202</w:t>
            </w:r>
            <w:r w:rsidR="00371AAC" w:rsidRPr="00873008">
              <w:rPr>
                <w:b/>
                <w:sz w:val="22"/>
                <w:szCs w:val="22"/>
              </w:rPr>
              <w:t>5</w:t>
            </w:r>
            <w:r w:rsidR="00E029DD" w:rsidRPr="00873008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73008" w14:paraId="3B4968F6" w14:textId="77777777" w:rsidTr="0003467E">
        <w:trPr>
          <w:cantSplit/>
          <w:trHeight w:val="400"/>
        </w:trPr>
        <w:tc>
          <w:tcPr>
            <w:tcW w:w="1119" w:type="dxa"/>
            <w:vAlign w:val="center"/>
          </w:tcPr>
          <w:p w14:paraId="11BA846C" w14:textId="32267808" w:rsidR="00824CC1" w:rsidRPr="00873008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4" w:type="dxa"/>
            <w:gridSpan w:val="6"/>
            <w:vAlign w:val="center"/>
          </w:tcPr>
          <w:p w14:paraId="36AD8EBB" w14:textId="47F0E51E" w:rsidR="00824CC1" w:rsidRPr="00873008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873008" w14:paraId="41A5AB5B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3F754BC6" w14:textId="07205A31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869" w:type="dxa"/>
            <w:vAlign w:val="center"/>
          </w:tcPr>
          <w:p w14:paraId="11E8C599" w14:textId="42E57AC2" w:rsidR="00E342B5" w:rsidRPr="00873008" w:rsidRDefault="00E342B5" w:rsidP="00A51978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811" w:type="dxa"/>
            <w:vAlign w:val="center"/>
          </w:tcPr>
          <w:p w14:paraId="29F129D1" w14:textId="5A03596D" w:rsidR="00E342B5" w:rsidRPr="00873008" w:rsidRDefault="004F437C" w:rsidP="004F437C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К</w:t>
            </w:r>
            <w:r w:rsidR="00821F08" w:rsidRPr="00873008">
              <w:rPr>
                <w:iCs/>
                <w:sz w:val="22"/>
                <w:szCs w:val="22"/>
              </w:rPr>
              <w:t>онсультации предоставляются на постоянной основе</w:t>
            </w:r>
            <w:r w:rsidRPr="00873008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106" w:type="dxa"/>
            <w:vAlign w:val="center"/>
          </w:tcPr>
          <w:p w14:paraId="23DE0959" w14:textId="2A2CF4D7" w:rsidR="00E342B5" w:rsidRPr="00873008" w:rsidRDefault="00E342B5" w:rsidP="00A51978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32" w:type="dxa"/>
            <w:vAlign w:val="center"/>
          </w:tcPr>
          <w:p w14:paraId="2CC2922A" w14:textId="64946AD1" w:rsidR="00E342B5" w:rsidRPr="00873008" w:rsidRDefault="00E342B5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тыс.</w:t>
            </w:r>
            <w:r w:rsidR="004F437C" w:rsidRPr="00873008">
              <w:rPr>
                <w:color w:val="000000"/>
                <w:sz w:val="22"/>
                <w:szCs w:val="22"/>
              </w:rPr>
              <w:t xml:space="preserve"> </w:t>
            </w:r>
            <w:r w:rsidRPr="00873008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89" w:type="dxa"/>
            <w:vAlign w:val="center"/>
          </w:tcPr>
          <w:p w14:paraId="18196DAE" w14:textId="6F472D9C" w:rsidR="00E342B5" w:rsidRPr="00873008" w:rsidRDefault="00520162" w:rsidP="00A51978">
            <w:pPr>
              <w:jc w:val="center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0,670</w:t>
            </w:r>
          </w:p>
        </w:tc>
      </w:tr>
      <w:tr w:rsidR="0003467E" w:rsidRPr="00873008" w14:paraId="4426CBB2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0BAB9130" w14:textId="0C641843" w:rsidR="0003467E" w:rsidRPr="00873008" w:rsidRDefault="0003467E" w:rsidP="0003467E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869" w:type="dxa"/>
            <w:vAlign w:val="center"/>
          </w:tcPr>
          <w:p w14:paraId="4FED8AB8" w14:textId="37F11A52" w:rsidR="0003467E" w:rsidRPr="00873008" w:rsidRDefault="0003467E" w:rsidP="0003467E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811" w:type="dxa"/>
            <w:vAlign w:val="center"/>
          </w:tcPr>
          <w:p w14:paraId="66EF9C18" w14:textId="27925703" w:rsidR="0003467E" w:rsidRPr="00873008" w:rsidRDefault="00231DE4" w:rsidP="00231DE4">
            <w:pPr>
              <w:jc w:val="both"/>
              <w:rPr>
                <w:i/>
                <w:iCs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В отчетном периоде 2</w:t>
            </w:r>
            <w:r w:rsidR="00873008" w:rsidRPr="00873008">
              <w:rPr>
                <w:iCs/>
                <w:sz w:val="22"/>
                <w:szCs w:val="22"/>
              </w:rPr>
              <w:t xml:space="preserve"> муниципальных предприятия </w:t>
            </w:r>
            <w:r w:rsidRPr="00873008">
              <w:rPr>
                <w:iCs/>
                <w:sz w:val="22"/>
                <w:szCs w:val="22"/>
              </w:rPr>
              <w:t xml:space="preserve">ликвидировано, 1 </w:t>
            </w:r>
            <w:r w:rsidR="00873008" w:rsidRPr="00873008">
              <w:rPr>
                <w:iCs/>
                <w:sz w:val="22"/>
                <w:szCs w:val="22"/>
              </w:rPr>
              <w:t xml:space="preserve">- </w:t>
            </w:r>
            <w:r w:rsidRPr="00873008">
              <w:rPr>
                <w:iCs/>
                <w:sz w:val="22"/>
                <w:szCs w:val="22"/>
              </w:rPr>
              <w:t>в стадии банкротства.</w:t>
            </w:r>
          </w:p>
        </w:tc>
        <w:tc>
          <w:tcPr>
            <w:tcW w:w="3106" w:type="dxa"/>
            <w:vAlign w:val="center"/>
          </w:tcPr>
          <w:p w14:paraId="11442A1A" w14:textId="4D1B5B68" w:rsidR="0003467E" w:rsidRPr="00873008" w:rsidRDefault="0003467E" w:rsidP="0003467E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932" w:type="dxa"/>
            <w:vAlign w:val="center"/>
          </w:tcPr>
          <w:p w14:paraId="7D181188" w14:textId="4F93A050" w:rsidR="0003467E" w:rsidRPr="00873008" w:rsidRDefault="0003467E" w:rsidP="0003467E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7F0FD1B4" w14:textId="7991DE24" w:rsidR="0003467E" w:rsidRPr="00873008" w:rsidRDefault="0003467E" w:rsidP="0003467E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3A2F7032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96C4422" w14:textId="7FBC1ED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869" w:type="dxa"/>
            <w:vAlign w:val="center"/>
          </w:tcPr>
          <w:p w14:paraId="697E8897" w14:textId="7B7962F9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</w:t>
            </w:r>
            <w:r w:rsidRPr="00873008">
              <w:rPr>
                <w:color w:val="000000"/>
                <w:sz w:val="22"/>
                <w:szCs w:val="22"/>
              </w:rPr>
              <w:lastRenderedPageBreak/>
              <w:t>перепрофилирование (изменению целевого назначения) муниципального имущества</w:t>
            </w:r>
          </w:p>
        </w:tc>
        <w:tc>
          <w:tcPr>
            <w:tcW w:w="4811" w:type="dxa"/>
            <w:vAlign w:val="center"/>
          </w:tcPr>
          <w:p w14:paraId="01B84564" w14:textId="77777777" w:rsidR="007F5547" w:rsidRPr="00873008" w:rsidRDefault="007F5547" w:rsidP="007F5547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873008">
              <w:rPr>
                <w:iCs/>
                <w:color w:val="000000" w:themeColor="text1"/>
                <w:sz w:val="22"/>
                <w:szCs w:val="22"/>
              </w:rPr>
              <w:lastRenderedPageBreak/>
              <w:t>Отчет об итогах исполнения плана приватизации не формировался</w:t>
            </w:r>
          </w:p>
          <w:p w14:paraId="154AC4C7" w14:textId="77777777" w:rsidR="007F5547" w:rsidRPr="00873008" w:rsidRDefault="007F5547" w:rsidP="007F5547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873008">
              <w:rPr>
                <w:iCs/>
                <w:color w:val="000000" w:themeColor="text1"/>
                <w:sz w:val="22"/>
                <w:szCs w:val="22"/>
              </w:rPr>
              <w:t>План приватизации размещен на странице официального сайта администрации Лукояновского муниципального округа по ссылке:</w:t>
            </w:r>
          </w:p>
          <w:p w14:paraId="706BC9A7" w14:textId="77777777" w:rsidR="007F5547" w:rsidRPr="00873008" w:rsidRDefault="007F5547" w:rsidP="007F554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873008">
              <w:rPr>
                <w:i/>
                <w:iCs/>
                <w:color w:val="000000" w:themeColor="text1"/>
                <w:sz w:val="22"/>
                <w:szCs w:val="22"/>
              </w:rPr>
              <w:t>https://lukoyanov.nobl.ru/documents/active/304861/</w:t>
            </w:r>
          </w:p>
          <w:p w14:paraId="364B0A8F" w14:textId="3084B872" w:rsidR="007F5547" w:rsidRPr="00873008" w:rsidRDefault="007F5547" w:rsidP="007F5547">
            <w:pPr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14:paraId="77E0D388" w14:textId="3FCA2DE1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 xml:space="preserve">Отчеты об итогах исполнения планов приватизации, в соответствии с Правилами разработки прогнозных планов (программ) приватизации государственного и </w:t>
            </w:r>
            <w:r w:rsidRPr="00873008">
              <w:rPr>
                <w:sz w:val="22"/>
                <w:szCs w:val="22"/>
              </w:rPr>
              <w:lastRenderedPageBreak/>
              <w:t>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932" w:type="dxa"/>
            <w:vAlign w:val="center"/>
          </w:tcPr>
          <w:p w14:paraId="61D92BBE" w14:textId="4D42A733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89" w:type="dxa"/>
            <w:vAlign w:val="center"/>
          </w:tcPr>
          <w:p w14:paraId="07200278" w14:textId="4ED13DDB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</w:p>
        </w:tc>
      </w:tr>
      <w:tr w:rsidR="007F5547" w:rsidRPr="00873008" w14:paraId="27EDDDD1" w14:textId="77777777" w:rsidTr="0003467E">
        <w:trPr>
          <w:gridAfter w:val="1"/>
          <w:wAfter w:w="7" w:type="dxa"/>
        </w:trPr>
        <w:tc>
          <w:tcPr>
            <w:tcW w:w="1119" w:type="dxa"/>
            <w:shd w:val="clear" w:color="auto" w:fill="auto"/>
            <w:vAlign w:val="center"/>
          </w:tcPr>
          <w:p w14:paraId="7363D6EE" w14:textId="5CD1CAEF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1.4.11.</w:t>
            </w:r>
          </w:p>
        </w:tc>
        <w:tc>
          <w:tcPr>
            <w:tcW w:w="3869" w:type="dxa"/>
            <w:shd w:val="clear" w:color="auto" w:fill="auto"/>
            <w:vAlign w:val="center"/>
          </w:tcPr>
          <w:p w14:paraId="58396764" w14:textId="5305683A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1510E04C" w14:textId="4EC16E13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За отчетный период публичные торги (конкурентные процедуры) не проводились.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437976A3" w14:textId="7886E7E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5C91971" w14:textId="1E0955E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EE1CFCE" w14:textId="67303EF3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По итогам года</w:t>
            </w:r>
          </w:p>
        </w:tc>
      </w:tr>
      <w:tr w:rsidR="007F5547" w:rsidRPr="00873008" w14:paraId="66C76A85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49D61109" w14:textId="6534533F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869" w:type="dxa"/>
          </w:tcPr>
          <w:p w14:paraId="3458613C" w14:textId="7085C50E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811" w:type="dxa"/>
            <w:vAlign w:val="center"/>
          </w:tcPr>
          <w:p w14:paraId="3D9701E8" w14:textId="7EC81EDA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На территории Лукояновского муниципального округа Нижегородской области отсутствуют неиспользуемые по назначению объекты социальной сферы.</w:t>
            </w:r>
          </w:p>
        </w:tc>
        <w:tc>
          <w:tcPr>
            <w:tcW w:w="3106" w:type="dxa"/>
            <w:vAlign w:val="center"/>
          </w:tcPr>
          <w:p w14:paraId="6530E337" w14:textId="6C07970F" w:rsidR="007F5547" w:rsidRPr="00873008" w:rsidRDefault="007F5547" w:rsidP="007F5547">
            <w:pPr>
              <w:jc w:val="both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32" w:type="dxa"/>
            <w:vAlign w:val="center"/>
          </w:tcPr>
          <w:p w14:paraId="1F89AF31" w14:textId="4797348E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%</w:t>
            </w:r>
          </w:p>
        </w:tc>
        <w:tc>
          <w:tcPr>
            <w:tcW w:w="1889" w:type="dxa"/>
            <w:vAlign w:val="center"/>
          </w:tcPr>
          <w:p w14:paraId="0012A819" w14:textId="2D4258B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100</w:t>
            </w:r>
          </w:p>
        </w:tc>
      </w:tr>
      <w:tr w:rsidR="007F5547" w:rsidRPr="00873008" w14:paraId="4D9F1D4F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6ED8C5AE" w14:textId="2B73B6D1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1.10.1.</w:t>
            </w:r>
          </w:p>
        </w:tc>
        <w:tc>
          <w:tcPr>
            <w:tcW w:w="3869" w:type="dxa"/>
            <w:vAlign w:val="center"/>
          </w:tcPr>
          <w:p w14:paraId="0D249761" w14:textId="71D78F9C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873008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873008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873008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873008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4811" w:type="dxa"/>
            <w:vAlign w:val="center"/>
          </w:tcPr>
          <w:p w14:paraId="1DA0FA22" w14:textId="27D71EA0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В 2025 году </w:t>
            </w:r>
            <w:proofErr w:type="spellStart"/>
            <w:r w:rsidRPr="00873008">
              <w:rPr>
                <w:sz w:val="22"/>
                <w:szCs w:val="22"/>
              </w:rPr>
              <w:t>Лукояновский</w:t>
            </w:r>
            <w:proofErr w:type="spellEnd"/>
            <w:r w:rsidRPr="00873008">
              <w:rPr>
                <w:sz w:val="22"/>
                <w:szCs w:val="22"/>
              </w:rPr>
              <w:t xml:space="preserve"> муниципальный округ принимал участие в Международном конкурсе </w:t>
            </w:r>
            <w:proofErr w:type="spellStart"/>
            <w:r w:rsidRPr="00873008">
              <w:rPr>
                <w:sz w:val="22"/>
                <w:szCs w:val="22"/>
              </w:rPr>
              <w:t>медиапроектов</w:t>
            </w:r>
            <w:proofErr w:type="spellEnd"/>
            <w:r w:rsidRPr="00873008">
              <w:rPr>
                <w:sz w:val="22"/>
                <w:szCs w:val="22"/>
              </w:rPr>
              <w:t xml:space="preserve"> «И с нас начинается Родина"», во Всероссийском конкурсе </w:t>
            </w:r>
            <w:proofErr w:type="spellStart"/>
            <w:r w:rsidRPr="00873008">
              <w:rPr>
                <w:sz w:val="22"/>
                <w:szCs w:val="22"/>
              </w:rPr>
              <w:t>медиапроектов</w:t>
            </w:r>
            <w:proofErr w:type="spellEnd"/>
            <w:r w:rsidRPr="00873008">
              <w:rPr>
                <w:sz w:val="22"/>
                <w:szCs w:val="22"/>
              </w:rPr>
              <w:t xml:space="preserve"> «</w:t>
            </w:r>
            <w:proofErr w:type="spellStart"/>
            <w:r w:rsidRPr="00873008">
              <w:rPr>
                <w:sz w:val="22"/>
                <w:szCs w:val="22"/>
              </w:rPr>
              <w:t>МедиаКрылья</w:t>
            </w:r>
            <w:proofErr w:type="spellEnd"/>
            <w:r w:rsidRPr="00873008">
              <w:rPr>
                <w:sz w:val="22"/>
                <w:szCs w:val="22"/>
              </w:rPr>
              <w:t>», во Всероссийском конкурсе начального технического моделирования и конструирования «Юный техник – моделист», в региональном творческом конкурсе «</w:t>
            </w:r>
            <w:proofErr w:type="spellStart"/>
            <w:r w:rsidRPr="00873008">
              <w:rPr>
                <w:sz w:val="22"/>
                <w:szCs w:val="22"/>
              </w:rPr>
              <w:t>МедиаСтарт</w:t>
            </w:r>
            <w:proofErr w:type="spellEnd"/>
            <w:r w:rsidRPr="00873008">
              <w:rPr>
                <w:sz w:val="22"/>
                <w:szCs w:val="22"/>
              </w:rPr>
              <w:t>», в областном этапе конкурса «Грани таланта», в областном конкурсе по 3Д моделированию «Здорово придумано!».</w:t>
            </w:r>
          </w:p>
          <w:p w14:paraId="2D062CF1" w14:textId="61FF755F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В мероприятиях приняли участие 22 школьника.</w:t>
            </w:r>
          </w:p>
          <w:p w14:paraId="4FD01EC2" w14:textId="31C0818E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В 2024 году – 12 чел. </w:t>
            </w:r>
          </w:p>
        </w:tc>
        <w:tc>
          <w:tcPr>
            <w:tcW w:w="3106" w:type="dxa"/>
            <w:vAlign w:val="center"/>
          </w:tcPr>
          <w:p w14:paraId="7E38CCFE" w14:textId="0E166F48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творчества.</w:t>
            </w:r>
          </w:p>
        </w:tc>
        <w:tc>
          <w:tcPr>
            <w:tcW w:w="932" w:type="dxa"/>
            <w:vAlign w:val="center"/>
          </w:tcPr>
          <w:p w14:paraId="186C2772" w14:textId="28A7CB9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чел.</w:t>
            </w:r>
          </w:p>
        </w:tc>
        <w:tc>
          <w:tcPr>
            <w:tcW w:w="1889" w:type="dxa"/>
            <w:vAlign w:val="center"/>
          </w:tcPr>
          <w:p w14:paraId="641D2847" w14:textId="5E4BA88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22</w:t>
            </w:r>
          </w:p>
        </w:tc>
      </w:tr>
      <w:tr w:rsidR="007F5547" w:rsidRPr="00873008" w14:paraId="57BF4293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5C04A7FB" w14:textId="2D2BFA48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1.11.1.</w:t>
            </w:r>
          </w:p>
        </w:tc>
        <w:tc>
          <w:tcPr>
            <w:tcW w:w="3869" w:type="dxa"/>
            <w:vAlign w:val="center"/>
          </w:tcPr>
          <w:p w14:paraId="39AD1C67" w14:textId="69B1AFF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811" w:type="dxa"/>
            <w:vAlign w:val="center"/>
          </w:tcPr>
          <w:p w14:paraId="20A09DA6" w14:textId="77777777" w:rsidR="007F5547" w:rsidRPr="00873008" w:rsidRDefault="007F5547" w:rsidP="007F5547">
            <w:pPr>
              <w:shd w:val="clear" w:color="auto" w:fill="FFFFFF"/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</w:pPr>
            <w:r w:rsidRPr="00873008">
              <w:rPr>
                <w:rFonts w:ascii="Arial" w:hAnsi="Arial" w:cs="Arial"/>
                <w:color w:val="000000" w:themeColor="text1"/>
                <w:sz w:val="22"/>
                <w:szCs w:val="22"/>
                <w:lang w:eastAsia="ru-RU"/>
              </w:rPr>
              <w:t> </w:t>
            </w:r>
          </w:p>
          <w:p w14:paraId="4CCC9B35" w14:textId="77777777" w:rsidR="007F5547" w:rsidRPr="00873008" w:rsidRDefault="00525E9B" w:rsidP="007F5547">
            <w:pPr>
              <w:shd w:val="clear" w:color="auto" w:fill="FFFFFF"/>
              <w:suppressAutoHyphens w:val="0"/>
              <w:rPr>
                <w:color w:val="000000" w:themeColor="text1"/>
                <w:sz w:val="22"/>
                <w:szCs w:val="22"/>
                <w:lang w:eastAsia="ru-RU"/>
              </w:rPr>
            </w:pPr>
            <w:hyperlink r:id="rId8" w:tgtFrame="_blank" w:history="1">
              <w:r w:rsidR="007F5547" w:rsidRPr="00873008">
                <w:rPr>
                  <w:color w:val="000000" w:themeColor="text1"/>
                  <w:sz w:val="22"/>
                  <w:szCs w:val="22"/>
                  <w:u w:val="single"/>
                  <w:lang w:eastAsia="ru-RU"/>
                </w:rPr>
                <w:t>https://lukoyanov.nobl.ru/activity/18381/</w:t>
              </w:r>
            </w:hyperlink>
          </w:p>
          <w:p w14:paraId="41277B8D" w14:textId="4940229F" w:rsidR="007F5547" w:rsidRPr="00873008" w:rsidRDefault="007F5547" w:rsidP="007F55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14:paraId="22BBABCA" w14:textId="38D6A176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32" w:type="dxa"/>
            <w:vAlign w:val="center"/>
          </w:tcPr>
          <w:p w14:paraId="14BA1683" w14:textId="31A2C47F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41FE66EC" w14:textId="0EFDBCE5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6A88A1D1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29F929E9" w14:textId="180F054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1.11.3.</w:t>
            </w:r>
          </w:p>
        </w:tc>
        <w:tc>
          <w:tcPr>
            <w:tcW w:w="3869" w:type="dxa"/>
          </w:tcPr>
          <w:p w14:paraId="56C9970D" w14:textId="0106A811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</w:t>
            </w:r>
            <w:r w:rsidRPr="00873008">
              <w:rPr>
                <w:sz w:val="22"/>
                <w:szCs w:val="22"/>
              </w:rPr>
              <w:lastRenderedPageBreak/>
              <w:t>муниципальных образований Нижегородской области</w:t>
            </w:r>
          </w:p>
        </w:tc>
        <w:tc>
          <w:tcPr>
            <w:tcW w:w="4811" w:type="dxa"/>
            <w:vAlign w:val="center"/>
          </w:tcPr>
          <w:p w14:paraId="606B190B" w14:textId="77777777" w:rsidR="007F5547" w:rsidRPr="00873008" w:rsidRDefault="00525E9B" w:rsidP="007F5547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hyperlink r:id="rId9" w:history="1">
              <w:r w:rsidR="007F5547" w:rsidRPr="00873008">
                <w:rPr>
                  <w:rStyle w:val="ae"/>
                  <w:iCs/>
                  <w:color w:val="000000" w:themeColor="text1"/>
                  <w:sz w:val="22"/>
                  <w:szCs w:val="22"/>
                </w:rPr>
                <w:t>https://lukoyanov.nobl.ru/documents/other/158501/</w:t>
              </w:r>
            </w:hyperlink>
          </w:p>
          <w:p w14:paraId="0EB4AB89" w14:textId="37445490" w:rsidR="007F5547" w:rsidRPr="00873008" w:rsidRDefault="007F5547" w:rsidP="007F55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14:paraId="44256A21" w14:textId="75F9B17B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</w:t>
            </w:r>
            <w:r w:rsidRPr="00873008">
              <w:rPr>
                <w:sz w:val="22"/>
                <w:szCs w:val="22"/>
              </w:rPr>
              <w:lastRenderedPageBreak/>
              <w:t>муниципальных образований Нижегородской области</w:t>
            </w:r>
          </w:p>
        </w:tc>
        <w:tc>
          <w:tcPr>
            <w:tcW w:w="932" w:type="dxa"/>
            <w:vAlign w:val="center"/>
          </w:tcPr>
          <w:p w14:paraId="6A655924" w14:textId="26D7CE86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89" w:type="dxa"/>
            <w:vAlign w:val="center"/>
          </w:tcPr>
          <w:p w14:paraId="4D199C29" w14:textId="5D651A53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32392C26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6686130C" w14:textId="23F303B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>1.11.5.</w:t>
            </w:r>
          </w:p>
        </w:tc>
        <w:tc>
          <w:tcPr>
            <w:tcW w:w="3869" w:type="dxa"/>
          </w:tcPr>
          <w:p w14:paraId="4095A148" w14:textId="7FF73634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811" w:type="dxa"/>
            <w:vAlign w:val="center"/>
          </w:tcPr>
          <w:p w14:paraId="07AC9E34" w14:textId="77777777" w:rsidR="007F5547" w:rsidRPr="00873008" w:rsidRDefault="00525E9B" w:rsidP="007F5547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7F5547" w:rsidRPr="00873008">
                <w:rPr>
                  <w:rStyle w:val="ae"/>
                  <w:color w:val="000000" w:themeColor="text1"/>
                  <w:sz w:val="22"/>
                  <w:szCs w:val="22"/>
                </w:rPr>
                <w:t>https://lukoyanov.nobl.ru/documents/other/144518/</w:t>
              </w:r>
            </w:hyperlink>
          </w:p>
          <w:p w14:paraId="47590C8A" w14:textId="0AAFC5A9" w:rsidR="007F5547" w:rsidRPr="00873008" w:rsidRDefault="007F5547" w:rsidP="007F55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14:paraId="3E42EB9D" w14:textId="5A48C1B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32" w:type="dxa"/>
            <w:vAlign w:val="center"/>
          </w:tcPr>
          <w:p w14:paraId="2855CBF0" w14:textId="10473E16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7E7D9139" w14:textId="75441E5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3913D3E9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023A3CFD" w14:textId="606A18EE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869" w:type="dxa"/>
            <w:vAlign w:val="center"/>
          </w:tcPr>
          <w:p w14:paraId="0F425DED" w14:textId="31146FE8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811" w:type="dxa"/>
            <w:vAlign w:val="center"/>
          </w:tcPr>
          <w:p w14:paraId="001A006E" w14:textId="5049E22C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Предложения не направлялись, т.к. отсутствуют негосударственные организации, предоставляющие услуги дошкольного, общего и среднего профессионального образования.</w:t>
            </w:r>
          </w:p>
        </w:tc>
        <w:tc>
          <w:tcPr>
            <w:tcW w:w="3106" w:type="dxa"/>
            <w:vAlign w:val="center"/>
          </w:tcPr>
          <w:p w14:paraId="008F3057" w14:textId="062FC2BA" w:rsidR="007F5547" w:rsidRPr="00873008" w:rsidRDefault="007F5547" w:rsidP="007F5547">
            <w:pPr>
              <w:jc w:val="both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32" w:type="dxa"/>
            <w:vAlign w:val="center"/>
          </w:tcPr>
          <w:p w14:paraId="103E2BD0" w14:textId="5AECD04E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3C2380E0" w14:textId="034EE72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60BF711D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7A54B8A4" w14:textId="27160965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869" w:type="dxa"/>
            <w:vAlign w:val="center"/>
          </w:tcPr>
          <w:p w14:paraId="1F3C766C" w14:textId="440C95B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811" w:type="dxa"/>
            <w:vAlign w:val="center"/>
          </w:tcPr>
          <w:p w14:paraId="6D97D709" w14:textId="39B910A8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Не ведется.</w:t>
            </w:r>
          </w:p>
        </w:tc>
        <w:tc>
          <w:tcPr>
            <w:tcW w:w="3106" w:type="dxa"/>
            <w:vAlign w:val="center"/>
          </w:tcPr>
          <w:p w14:paraId="7521713F" w14:textId="00CBB57E" w:rsidR="007F5547" w:rsidRPr="00873008" w:rsidRDefault="007F5547" w:rsidP="007F5547">
            <w:pPr>
              <w:jc w:val="both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32" w:type="dxa"/>
            <w:vAlign w:val="center"/>
          </w:tcPr>
          <w:p w14:paraId="1F027D31" w14:textId="3702F29F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3D898BA8" w14:textId="51CD56CB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7B28D062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5BAFBCDB" w14:textId="1318CD64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869" w:type="dxa"/>
            <w:vAlign w:val="center"/>
          </w:tcPr>
          <w:p w14:paraId="7FED039B" w14:textId="690902A4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</w:t>
            </w:r>
            <w:r w:rsidRPr="00873008">
              <w:rPr>
                <w:sz w:val="22"/>
                <w:szCs w:val="22"/>
              </w:rPr>
              <w:lastRenderedPageBreak/>
              <w:t>также мест в группах кратковременного пребывания детей</w:t>
            </w:r>
          </w:p>
        </w:tc>
        <w:tc>
          <w:tcPr>
            <w:tcW w:w="4811" w:type="dxa"/>
            <w:vAlign w:val="center"/>
          </w:tcPr>
          <w:p w14:paraId="42B060A6" w14:textId="667EB8BE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lastRenderedPageBreak/>
              <w:t>Мероприятие не реализуется, т.к. отсутствуют негосударственные организации, предоставляющие услуги дошкольного, общего и среднего профессионального образования.</w:t>
            </w:r>
          </w:p>
        </w:tc>
        <w:tc>
          <w:tcPr>
            <w:tcW w:w="3106" w:type="dxa"/>
            <w:vAlign w:val="center"/>
          </w:tcPr>
          <w:p w14:paraId="03788638" w14:textId="6F08C009" w:rsidR="007F5547" w:rsidRPr="00873008" w:rsidRDefault="007F5547" w:rsidP="007F5547">
            <w:pPr>
              <w:jc w:val="both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32" w:type="dxa"/>
            <w:vAlign w:val="center"/>
          </w:tcPr>
          <w:p w14:paraId="41C1B184" w14:textId="716CA84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3EC3DE02" w14:textId="73053B8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4B535B15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C0F6285" w14:textId="5D683A8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1.28.2.</w:t>
            </w:r>
          </w:p>
        </w:tc>
        <w:tc>
          <w:tcPr>
            <w:tcW w:w="3869" w:type="dxa"/>
            <w:vAlign w:val="center"/>
          </w:tcPr>
          <w:p w14:paraId="1543429D" w14:textId="03E5CF22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Внесение изменений в муниципальные схемы размещения нестационарных торговых объектов (далее – НТО) (расширение перечня объектов)</w:t>
            </w:r>
          </w:p>
        </w:tc>
        <w:tc>
          <w:tcPr>
            <w:tcW w:w="4811" w:type="dxa"/>
            <w:vAlign w:val="center"/>
          </w:tcPr>
          <w:p w14:paraId="505F40A6" w14:textId="4D326201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В схему размещения НТО на территории Лукояновского муниципального округа Нижегородской области на 2023-3030 годы, утвержденную постановлением администрации Лукояновского муниципального округа Нижегородской области от 19.04.2023 № 356-п в 2025 году внесены изменения постановлениями от 23.07.2025 № 756-п, от 15.10.2025 № 1116-п. Общее количество мест для размещения НТО, включенных в схему, составляет 97.</w:t>
            </w:r>
          </w:p>
        </w:tc>
        <w:tc>
          <w:tcPr>
            <w:tcW w:w="3106" w:type="dxa"/>
            <w:vAlign w:val="center"/>
          </w:tcPr>
          <w:p w14:paraId="7140024F" w14:textId="6750A133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32" w:type="dxa"/>
            <w:vAlign w:val="center"/>
          </w:tcPr>
          <w:p w14:paraId="000A1C22" w14:textId="47242AEC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3FA58104" w14:textId="518F8CE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32AB0166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7A08DD0" w14:textId="73BD852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869" w:type="dxa"/>
            <w:vAlign w:val="center"/>
          </w:tcPr>
          <w:p w14:paraId="056D1D36" w14:textId="48CC4418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811" w:type="dxa"/>
            <w:vAlign w:val="center"/>
          </w:tcPr>
          <w:p w14:paraId="46066062" w14:textId="029B6DC2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В 2025 году проведено 102 однодневных ярмарки выходного дня, а также 13 разовых ярмарок общей продолжительностью 63 дня, в том числе 1 однодневная ярмарка «Покупайте нижегородское».</w:t>
            </w:r>
          </w:p>
        </w:tc>
        <w:tc>
          <w:tcPr>
            <w:tcW w:w="3106" w:type="dxa"/>
            <w:vAlign w:val="center"/>
          </w:tcPr>
          <w:p w14:paraId="7DAC592D" w14:textId="4E58CDE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32" w:type="dxa"/>
            <w:vAlign w:val="center"/>
          </w:tcPr>
          <w:p w14:paraId="769AFA9C" w14:textId="0B1D6CB6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57E621C9" w14:textId="02E04016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45CF054C" w14:textId="77777777" w:rsidTr="0003467E">
        <w:trPr>
          <w:gridAfter w:val="1"/>
          <w:wAfter w:w="7" w:type="dxa"/>
        </w:trPr>
        <w:tc>
          <w:tcPr>
            <w:tcW w:w="1119" w:type="dxa"/>
          </w:tcPr>
          <w:p w14:paraId="7D1732C8" w14:textId="5C1428C9" w:rsidR="007F5547" w:rsidRPr="00873008" w:rsidRDefault="007F5547" w:rsidP="007F554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86" w:type="dxa"/>
            <w:gridSpan w:val="3"/>
          </w:tcPr>
          <w:p w14:paraId="5A683544" w14:textId="235C0446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32" w:type="dxa"/>
            <w:vAlign w:val="center"/>
          </w:tcPr>
          <w:p w14:paraId="6AD052E2" w14:textId="7777777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5508987E" w14:textId="7777777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</w:p>
        </w:tc>
      </w:tr>
      <w:tr w:rsidR="007F5547" w:rsidRPr="00873008" w14:paraId="6686EB99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4EA5BB77" w14:textId="6D234911" w:rsidR="007F5547" w:rsidRPr="00873008" w:rsidRDefault="007F5547" w:rsidP="007F55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73008"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786" w:type="dxa"/>
            <w:gridSpan w:val="3"/>
            <w:vAlign w:val="center"/>
          </w:tcPr>
          <w:p w14:paraId="1F730A35" w14:textId="5A9EA75E" w:rsidR="007F5547" w:rsidRPr="00873008" w:rsidRDefault="007F5547" w:rsidP="007F5547">
            <w:pPr>
              <w:jc w:val="both"/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32" w:type="dxa"/>
            <w:vAlign w:val="center"/>
          </w:tcPr>
          <w:p w14:paraId="1B5B5EC9" w14:textId="77777777" w:rsidR="007F5547" w:rsidRPr="00873008" w:rsidRDefault="007F5547" w:rsidP="007F55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1B4FFC18" w14:textId="77777777" w:rsidR="007F5547" w:rsidRPr="00873008" w:rsidRDefault="007F5547" w:rsidP="007F55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5547" w:rsidRPr="00873008" w14:paraId="6C193B68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2FB12279" w14:textId="65E9E75F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869" w:type="dxa"/>
            <w:vAlign w:val="center"/>
          </w:tcPr>
          <w:p w14:paraId="39845AF8" w14:textId="4F0835EF" w:rsidR="007F5547" w:rsidRPr="00873008" w:rsidRDefault="007F5547" w:rsidP="007F5547">
            <w:pPr>
              <w:jc w:val="both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811" w:type="dxa"/>
            <w:vAlign w:val="center"/>
          </w:tcPr>
          <w:p w14:paraId="25A29BDC" w14:textId="67110692" w:rsidR="007F5547" w:rsidRPr="00873008" w:rsidRDefault="007F5547" w:rsidP="007F5547">
            <w:pPr>
              <w:jc w:val="both"/>
              <w:rPr>
                <w:color w:val="FF000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На территории Лукояновского муниципального округа Нижегородской области места погребения расположены в 53 населенных пунктах. Общее количество мест погребения - 54 единиц (на 55 земельных участках). Проведена инвентаризация 44 земельных участков. Процент  выполнения - 80 %.</w:t>
            </w:r>
          </w:p>
        </w:tc>
        <w:tc>
          <w:tcPr>
            <w:tcW w:w="3106" w:type="dxa"/>
            <w:vAlign w:val="center"/>
          </w:tcPr>
          <w:p w14:paraId="6A421080" w14:textId="34ED56D9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932" w:type="dxa"/>
            <w:vAlign w:val="center"/>
          </w:tcPr>
          <w:p w14:paraId="037FE694" w14:textId="42828EA9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5CBD7AB4" w14:textId="4EE520B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55AE53F9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20C4CB4" w14:textId="67A361AF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869" w:type="dxa"/>
            <w:vAlign w:val="center"/>
          </w:tcPr>
          <w:p w14:paraId="7CE75B5F" w14:textId="3A140A0B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</w:t>
            </w:r>
            <w:r w:rsidRPr="00873008">
              <w:rPr>
                <w:color w:val="000000"/>
                <w:sz w:val="22"/>
                <w:szCs w:val="22"/>
              </w:rPr>
              <w:lastRenderedPageBreak/>
              <w:t xml:space="preserve">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811" w:type="dxa"/>
            <w:vAlign w:val="center"/>
          </w:tcPr>
          <w:p w14:paraId="6CEE2D96" w14:textId="77777777" w:rsidR="007F5547" w:rsidRPr="00873008" w:rsidRDefault="007F5547" w:rsidP="007F5547">
            <w:pPr>
              <w:jc w:val="both"/>
              <w:rPr>
                <w:iCs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lastRenderedPageBreak/>
              <w:t xml:space="preserve">В процессе разработки. </w:t>
            </w:r>
          </w:p>
          <w:p w14:paraId="52A93E60" w14:textId="0D7EB4EF" w:rsidR="007F5547" w:rsidRPr="00873008" w:rsidRDefault="007F5547" w:rsidP="007F5547">
            <w:pPr>
              <w:jc w:val="both"/>
              <w:rPr>
                <w:iCs/>
                <w:color w:val="FF000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В 2025 году в РГИС НО занесена информация о 44 земельных участках, на которых расположены кладбища.</w:t>
            </w:r>
          </w:p>
        </w:tc>
        <w:tc>
          <w:tcPr>
            <w:tcW w:w="3106" w:type="dxa"/>
            <w:vAlign w:val="center"/>
          </w:tcPr>
          <w:p w14:paraId="41CAD43F" w14:textId="67B9F871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32" w:type="dxa"/>
            <w:vAlign w:val="center"/>
          </w:tcPr>
          <w:p w14:paraId="5197E48F" w14:textId="7C889515" w:rsidR="007F5547" w:rsidRPr="00873008" w:rsidRDefault="007F5547" w:rsidP="007F5547">
            <w:pPr>
              <w:jc w:val="center"/>
              <w:rPr>
                <w:sz w:val="22"/>
                <w:szCs w:val="22"/>
                <w:lang w:val="en-US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1D3D59E4" w14:textId="4204EA28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</w:p>
        </w:tc>
      </w:tr>
      <w:tr w:rsidR="007F5547" w:rsidRPr="00873008" w14:paraId="475809C9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538ADDF3" w14:textId="5F5A30C1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2.10.4.</w:t>
            </w:r>
          </w:p>
        </w:tc>
        <w:tc>
          <w:tcPr>
            <w:tcW w:w="3869" w:type="dxa"/>
            <w:vAlign w:val="center"/>
          </w:tcPr>
          <w:p w14:paraId="1171A399" w14:textId="18C1E25C" w:rsidR="007F5547" w:rsidRPr="00873008" w:rsidRDefault="007F5547" w:rsidP="007F5547">
            <w:pPr>
              <w:jc w:val="both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811" w:type="dxa"/>
            <w:vAlign w:val="center"/>
          </w:tcPr>
          <w:p w14:paraId="4F9DE2C6" w14:textId="4DBC0260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Перечень организаций, оказывающих услуги по организации похорон, поддерживается в актуальном состоянии. На региональном портале государственных и муниципальных услуг информация не размещалась.</w:t>
            </w:r>
          </w:p>
        </w:tc>
        <w:tc>
          <w:tcPr>
            <w:tcW w:w="3106" w:type="dxa"/>
            <w:vAlign w:val="center"/>
          </w:tcPr>
          <w:p w14:paraId="771196A0" w14:textId="1D19DB7D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32" w:type="dxa"/>
            <w:vAlign w:val="center"/>
          </w:tcPr>
          <w:p w14:paraId="78CC6A03" w14:textId="04061B9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550BF8E3" w14:textId="7777777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</w:p>
        </w:tc>
      </w:tr>
      <w:tr w:rsidR="007F5547" w:rsidRPr="00873008" w14:paraId="69C4287F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06463DE1" w14:textId="6A1C5AEC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869" w:type="dxa"/>
            <w:vAlign w:val="center"/>
          </w:tcPr>
          <w:p w14:paraId="4FC08FB8" w14:textId="1DBD1548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811" w:type="dxa"/>
            <w:vAlign w:val="center"/>
          </w:tcPr>
          <w:p w14:paraId="70FDB59D" w14:textId="56A472C4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/>
                <w:iCs/>
                <w:color w:val="7030A0"/>
                <w:sz w:val="22"/>
                <w:szCs w:val="22"/>
              </w:rPr>
              <w:t xml:space="preserve"> </w:t>
            </w:r>
            <w:r w:rsidRPr="00873008">
              <w:rPr>
                <w:iCs/>
                <w:sz w:val="22"/>
                <w:szCs w:val="22"/>
              </w:rPr>
              <w:t>Не предпринималось никаких действий.</w:t>
            </w:r>
          </w:p>
        </w:tc>
        <w:tc>
          <w:tcPr>
            <w:tcW w:w="3106" w:type="dxa"/>
            <w:vAlign w:val="center"/>
          </w:tcPr>
          <w:p w14:paraId="502D4C82" w14:textId="7777777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32" w:type="dxa"/>
            <w:vAlign w:val="center"/>
          </w:tcPr>
          <w:p w14:paraId="74DCF675" w14:textId="054F30EA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5BE7E189" w14:textId="4A142473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3238DACE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459B28FF" w14:textId="2702D5F9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2.10.6.</w:t>
            </w:r>
          </w:p>
        </w:tc>
        <w:tc>
          <w:tcPr>
            <w:tcW w:w="3869" w:type="dxa"/>
            <w:vAlign w:val="center"/>
          </w:tcPr>
          <w:p w14:paraId="6C80A822" w14:textId="56C0A36A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811" w:type="dxa"/>
            <w:vAlign w:val="center"/>
          </w:tcPr>
          <w:p w14:paraId="23E0C9E3" w14:textId="3EA9460F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Уполномоченным органом в сфере погребения и похоронного дела (ведение реестра кладбищ) является </w:t>
            </w:r>
            <w:proofErr w:type="spellStart"/>
            <w:proofErr w:type="gramStart"/>
            <w:r w:rsidRPr="00873008">
              <w:rPr>
                <w:sz w:val="22"/>
                <w:szCs w:val="22"/>
              </w:rPr>
              <w:t>Минпромторг</w:t>
            </w:r>
            <w:proofErr w:type="spellEnd"/>
            <w:proofErr w:type="gramEnd"/>
            <w:r w:rsidRPr="00873008">
              <w:rPr>
                <w:sz w:val="22"/>
                <w:szCs w:val="22"/>
              </w:rPr>
              <w:t xml:space="preserve"> НО. По запросу </w:t>
            </w:r>
            <w:proofErr w:type="spellStart"/>
            <w:r w:rsidRPr="00873008">
              <w:rPr>
                <w:sz w:val="22"/>
                <w:szCs w:val="22"/>
              </w:rPr>
              <w:t>Минпромторга</w:t>
            </w:r>
            <w:proofErr w:type="spellEnd"/>
            <w:r w:rsidRPr="00873008">
              <w:rPr>
                <w:sz w:val="22"/>
                <w:szCs w:val="22"/>
              </w:rPr>
              <w:t xml:space="preserve"> НО Администрацией предоставляются сведения о кладбищах, поставленных на учет и прошедших государственную регистрацию.</w:t>
            </w:r>
          </w:p>
        </w:tc>
        <w:tc>
          <w:tcPr>
            <w:tcW w:w="3106" w:type="dxa"/>
            <w:vAlign w:val="center"/>
          </w:tcPr>
          <w:p w14:paraId="01ADE03C" w14:textId="7CE666CF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Постановление Правительства Нижегородской области от 13 февраля 2009 г. № 56</w:t>
            </w:r>
          </w:p>
        </w:tc>
        <w:tc>
          <w:tcPr>
            <w:tcW w:w="932" w:type="dxa"/>
            <w:vAlign w:val="center"/>
          </w:tcPr>
          <w:p w14:paraId="06801E50" w14:textId="7777777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7C17A599" w14:textId="7777777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7334FA1B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6A33D65E" w14:textId="45AE4F3B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2.13.4.</w:t>
            </w:r>
          </w:p>
        </w:tc>
        <w:tc>
          <w:tcPr>
            <w:tcW w:w="3869" w:type="dxa"/>
            <w:vAlign w:val="center"/>
          </w:tcPr>
          <w:p w14:paraId="61B3CBCF" w14:textId="40D22418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Проведение опросов населения для определения приоритетных проектов в </w:t>
            </w:r>
            <w:r w:rsidRPr="00873008">
              <w:rPr>
                <w:sz w:val="22"/>
                <w:szCs w:val="22"/>
              </w:rPr>
              <w:lastRenderedPageBreak/>
              <w:t>сфере благоустройства городской среды</w:t>
            </w:r>
          </w:p>
        </w:tc>
        <w:tc>
          <w:tcPr>
            <w:tcW w:w="4811" w:type="dxa"/>
            <w:vAlign w:val="center"/>
          </w:tcPr>
          <w:p w14:paraId="499EA11C" w14:textId="2A858D51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 xml:space="preserve">В отчетном периоде был проведен 1 опрос населения для определения приоритетных </w:t>
            </w:r>
            <w:r w:rsidRPr="00873008">
              <w:rPr>
                <w:sz w:val="22"/>
                <w:szCs w:val="22"/>
              </w:rPr>
              <w:lastRenderedPageBreak/>
              <w:t>проектов в сфере благоустройства городской среды.</w:t>
            </w:r>
          </w:p>
        </w:tc>
        <w:tc>
          <w:tcPr>
            <w:tcW w:w="3106" w:type="dxa"/>
            <w:vAlign w:val="center"/>
          </w:tcPr>
          <w:p w14:paraId="65979200" w14:textId="53DF2C3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Количество проведенных опросов</w:t>
            </w:r>
          </w:p>
        </w:tc>
        <w:tc>
          <w:tcPr>
            <w:tcW w:w="932" w:type="dxa"/>
            <w:vAlign w:val="center"/>
          </w:tcPr>
          <w:p w14:paraId="5F906598" w14:textId="0748363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ед.</w:t>
            </w:r>
          </w:p>
        </w:tc>
        <w:tc>
          <w:tcPr>
            <w:tcW w:w="1889" w:type="dxa"/>
            <w:vAlign w:val="center"/>
          </w:tcPr>
          <w:p w14:paraId="02C8FA3F" w14:textId="40E488AD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1</w:t>
            </w:r>
          </w:p>
        </w:tc>
      </w:tr>
      <w:tr w:rsidR="007F5547" w:rsidRPr="00873008" w14:paraId="362D2A04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6BEE680B" w14:textId="1C4A4959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>2.13.5.</w:t>
            </w:r>
          </w:p>
        </w:tc>
        <w:tc>
          <w:tcPr>
            <w:tcW w:w="3869" w:type="dxa"/>
            <w:vAlign w:val="center"/>
          </w:tcPr>
          <w:p w14:paraId="341A4C2F" w14:textId="0C0E7C61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873008">
              <w:rPr>
                <w:sz w:val="22"/>
                <w:szCs w:val="22"/>
              </w:rPr>
              <w:t>муниципально</w:t>
            </w:r>
            <w:proofErr w:type="spellEnd"/>
            <w:r w:rsidRPr="00873008">
              <w:rPr>
                <w:sz w:val="22"/>
                <w:szCs w:val="22"/>
              </w:rPr>
              <w:t>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4811" w:type="dxa"/>
            <w:vAlign w:val="center"/>
          </w:tcPr>
          <w:p w14:paraId="6FE966FC" w14:textId="695C5292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За отчетный период в рамках инициативного бюджетирования «В</w:t>
            </w:r>
            <w:r w:rsidR="00F22C73">
              <w:rPr>
                <w:sz w:val="22"/>
                <w:szCs w:val="22"/>
              </w:rPr>
              <w:t>ам решать» реализовано 8 проектов</w:t>
            </w:r>
            <w:r w:rsidRPr="00873008">
              <w:rPr>
                <w:sz w:val="22"/>
                <w:szCs w:val="22"/>
              </w:rPr>
              <w:t>, в рамках проекта «Формирование комфортной городской среды» - 2</w:t>
            </w:r>
            <w:r w:rsidR="00F22C73">
              <w:rPr>
                <w:sz w:val="22"/>
                <w:szCs w:val="22"/>
              </w:rPr>
              <w:t xml:space="preserve"> проекта</w:t>
            </w:r>
            <w:r w:rsidRPr="00873008">
              <w:rPr>
                <w:sz w:val="22"/>
                <w:szCs w:val="22"/>
              </w:rPr>
              <w:t>.</w:t>
            </w:r>
          </w:p>
        </w:tc>
        <w:tc>
          <w:tcPr>
            <w:tcW w:w="3106" w:type="dxa"/>
            <w:vAlign w:val="center"/>
          </w:tcPr>
          <w:p w14:paraId="6820CF6D" w14:textId="6BE873FD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рамках проектов: инициативного бюджетирования «Вам решать»; «Формирование комфортной городской среды»</w:t>
            </w:r>
          </w:p>
        </w:tc>
        <w:tc>
          <w:tcPr>
            <w:tcW w:w="932" w:type="dxa"/>
            <w:vAlign w:val="center"/>
          </w:tcPr>
          <w:p w14:paraId="0F75A088" w14:textId="2D2E88DF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89" w:type="dxa"/>
            <w:vAlign w:val="center"/>
          </w:tcPr>
          <w:p w14:paraId="4DC2686E" w14:textId="37E71EF4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10</w:t>
            </w:r>
          </w:p>
        </w:tc>
      </w:tr>
      <w:tr w:rsidR="007F5547" w:rsidRPr="00873008" w14:paraId="3D0B5A74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CA89C88" w14:textId="4A77729E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869" w:type="dxa"/>
            <w:vAlign w:val="center"/>
          </w:tcPr>
          <w:p w14:paraId="0B89D21E" w14:textId="47B5E6CC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811" w:type="dxa"/>
            <w:vAlign w:val="center"/>
          </w:tcPr>
          <w:p w14:paraId="414E9207" w14:textId="1FB0626B" w:rsidR="007F5547" w:rsidRPr="00873008" w:rsidRDefault="007F5547" w:rsidP="007F554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Нарушений не было.</w:t>
            </w:r>
          </w:p>
        </w:tc>
        <w:tc>
          <w:tcPr>
            <w:tcW w:w="3106" w:type="dxa"/>
            <w:vAlign w:val="center"/>
          </w:tcPr>
          <w:p w14:paraId="7E44FB2B" w14:textId="4AF807AC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37649EA7" w14:textId="284B2CE6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2A27343A" w14:textId="67063E1B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6AD5E8E0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60E42263" w14:textId="1CE2C584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869" w:type="dxa"/>
            <w:vAlign w:val="center"/>
          </w:tcPr>
          <w:p w14:paraId="2B081199" w14:textId="69F95952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</w:t>
            </w:r>
            <w:r w:rsidRPr="00873008">
              <w:rPr>
                <w:sz w:val="22"/>
                <w:szCs w:val="22"/>
              </w:rPr>
              <w:lastRenderedPageBreak/>
              <w:t>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811" w:type="dxa"/>
            <w:vAlign w:val="center"/>
          </w:tcPr>
          <w:p w14:paraId="6F97E80E" w14:textId="278A3FCD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lastRenderedPageBreak/>
              <w:t xml:space="preserve">Открытые конкурсы по выбору управляющей организации для управления многоквартирными домами проводились дважды: 22.04.2025 г. и 01.09.2025 г. </w:t>
            </w:r>
          </w:p>
        </w:tc>
        <w:tc>
          <w:tcPr>
            <w:tcW w:w="3106" w:type="dxa"/>
            <w:vAlign w:val="center"/>
          </w:tcPr>
          <w:p w14:paraId="31AE5A3F" w14:textId="36864461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08C8F1CA" w14:textId="2E37C441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1FF09020" w14:textId="798868DE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4D98B04E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3429819C" w14:textId="31C837F9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2.18.1</w:t>
            </w:r>
          </w:p>
        </w:tc>
        <w:tc>
          <w:tcPr>
            <w:tcW w:w="3869" w:type="dxa"/>
            <w:vAlign w:val="center"/>
          </w:tcPr>
          <w:p w14:paraId="375E144A" w14:textId="1953C705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811" w:type="dxa"/>
            <w:vAlign w:val="center"/>
          </w:tcPr>
          <w:p w14:paraId="2F3D33D3" w14:textId="026CF675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В 2025 году 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не проводились.</w:t>
            </w:r>
          </w:p>
        </w:tc>
        <w:tc>
          <w:tcPr>
            <w:tcW w:w="3106" w:type="dxa"/>
            <w:vAlign w:val="center"/>
          </w:tcPr>
          <w:p w14:paraId="59F9F06E" w14:textId="295ADAC6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64899070" w14:textId="7D32844D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0C7708C9" w14:textId="160A672D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34500413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5C44778F" w14:textId="429EA78D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869" w:type="dxa"/>
            <w:vAlign w:val="center"/>
          </w:tcPr>
          <w:p w14:paraId="49AB9AC4" w14:textId="76274C6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811" w:type="dxa"/>
            <w:vAlign w:val="center"/>
          </w:tcPr>
          <w:p w14:paraId="575D27AB" w14:textId="7A5E4F3D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В 2025 году открытые конкурсы на право осуществления перевозок по муниципальным маршрутам регулярных перевозок автомобильным транспортом по нерегулируемым тарифам не проводились.</w:t>
            </w:r>
          </w:p>
        </w:tc>
        <w:tc>
          <w:tcPr>
            <w:tcW w:w="3106" w:type="dxa"/>
            <w:vAlign w:val="center"/>
          </w:tcPr>
          <w:p w14:paraId="2BC7BC7D" w14:textId="6B6EEBC2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2896DA6F" w14:textId="195770B5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3E4691B1" w14:textId="4A8B93B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250178C6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6D9C155" w14:textId="1889E8FE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2.18.4.</w:t>
            </w:r>
          </w:p>
        </w:tc>
        <w:tc>
          <w:tcPr>
            <w:tcW w:w="3869" w:type="dxa"/>
          </w:tcPr>
          <w:p w14:paraId="3ADA900D" w14:textId="129B3CD2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811" w:type="dxa"/>
            <w:vAlign w:val="center"/>
          </w:tcPr>
          <w:p w14:paraId="6DD52912" w14:textId="3E5CCEB9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 xml:space="preserve">По необходимости. </w:t>
            </w:r>
          </w:p>
        </w:tc>
        <w:tc>
          <w:tcPr>
            <w:tcW w:w="3106" w:type="dxa"/>
            <w:vAlign w:val="center"/>
          </w:tcPr>
          <w:p w14:paraId="25959C64" w14:textId="4750035C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779D5DC0" w14:textId="1DAD820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6B227C25" w14:textId="24613B54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6B17BFA9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51844CFB" w14:textId="29B6DE9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2.18.5.</w:t>
            </w:r>
          </w:p>
        </w:tc>
        <w:tc>
          <w:tcPr>
            <w:tcW w:w="3869" w:type="dxa"/>
          </w:tcPr>
          <w:p w14:paraId="5B8A0AEE" w14:textId="68790FE4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4811" w:type="dxa"/>
            <w:vAlign w:val="center"/>
          </w:tcPr>
          <w:p w14:paraId="59D22CD1" w14:textId="28EE416D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 xml:space="preserve">По необходимости. </w:t>
            </w:r>
          </w:p>
        </w:tc>
        <w:tc>
          <w:tcPr>
            <w:tcW w:w="3106" w:type="dxa"/>
            <w:vAlign w:val="center"/>
          </w:tcPr>
          <w:p w14:paraId="6F0E3E64" w14:textId="639DCBA4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107C74D2" w14:textId="412DCC9F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119A64BF" w14:textId="150FD811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0D3DB9AC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2BD7537F" w14:textId="2E0DE0A3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2.18.6.</w:t>
            </w:r>
          </w:p>
        </w:tc>
        <w:tc>
          <w:tcPr>
            <w:tcW w:w="3869" w:type="dxa"/>
          </w:tcPr>
          <w:p w14:paraId="7EAAE6E1" w14:textId="0763823C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Разработка документа планирования муниципальных маршрутов регулярных перевозок с учетом </w:t>
            </w:r>
            <w:r w:rsidRPr="00873008">
              <w:rPr>
                <w:sz w:val="22"/>
                <w:szCs w:val="22"/>
              </w:rPr>
              <w:lastRenderedPageBreak/>
              <w:t>полученной в результате мониторинга информации</w:t>
            </w:r>
          </w:p>
        </w:tc>
        <w:tc>
          <w:tcPr>
            <w:tcW w:w="4811" w:type="dxa"/>
            <w:vAlign w:val="center"/>
          </w:tcPr>
          <w:p w14:paraId="7D684B55" w14:textId="4D56092F" w:rsidR="007F5547" w:rsidRPr="00873008" w:rsidRDefault="007F5547" w:rsidP="007F5547">
            <w:pPr>
              <w:jc w:val="both"/>
              <w:rPr>
                <w:b/>
                <w:bCs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lastRenderedPageBreak/>
              <w:t xml:space="preserve">По необходимости. </w:t>
            </w:r>
          </w:p>
        </w:tc>
        <w:tc>
          <w:tcPr>
            <w:tcW w:w="3106" w:type="dxa"/>
            <w:vAlign w:val="center"/>
          </w:tcPr>
          <w:p w14:paraId="251EF6FD" w14:textId="379A5002" w:rsidR="007F5547" w:rsidRPr="00873008" w:rsidRDefault="007F5547" w:rsidP="007F5547">
            <w:pPr>
              <w:jc w:val="center"/>
              <w:rPr>
                <w:color w:val="000000"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3C2F368C" w14:textId="1BE0B1A9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2FF60C2C" w14:textId="160C5DB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  <w:tr w:rsidR="007F5547" w:rsidRPr="00873008" w14:paraId="5D2FCB17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4C528464" w14:textId="16288167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>2.38.2</w:t>
            </w:r>
          </w:p>
        </w:tc>
        <w:tc>
          <w:tcPr>
            <w:tcW w:w="3869" w:type="dxa"/>
            <w:vAlign w:val="center"/>
          </w:tcPr>
          <w:p w14:paraId="14ADCEAA" w14:textId="783851CC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 w:rsidRPr="00873008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873008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811" w:type="dxa"/>
            <w:vAlign w:val="center"/>
          </w:tcPr>
          <w:p w14:paraId="04A1A633" w14:textId="520D0BE6" w:rsidR="007F5547" w:rsidRPr="003E3821" w:rsidRDefault="007F5547" w:rsidP="007F5547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3E3821">
              <w:rPr>
                <w:iCs/>
                <w:color w:val="000000" w:themeColor="text1"/>
                <w:sz w:val="22"/>
                <w:szCs w:val="22"/>
              </w:rPr>
              <w:t xml:space="preserve">Раздел создан (актуализируется по мере необходимости) </w:t>
            </w:r>
            <w:hyperlink r:id="rId11" w:history="1">
              <w:r w:rsidRPr="003E3821">
                <w:rPr>
                  <w:rStyle w:val="ae"/>
                  <w:iCs/>
                  <w:color w:val="000000" w:themeColor="text1"/>
                  <w:sz w:val="22"/>
                  <w:szCs w:val="22"/>
                </w:rPr>
                <w:t>https://lukoyanov.nobl.ru/activity/52097/</w:t>
              </w:r>
            </w:hyperlink>
          </w:p>
          <w:p w14:paraId="4871A255" w14:textId="77777777" w:rsidR="007F5547" w:rsidRPr="003E3821" w:rsidRDefault="007F5547" w:rsidP="007F5547">
            <w:pPr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  <w:p w14:paraId="6ADE1D88" w14:textId="78AB31C7" w:rsidR="007F5547" w:rsidRPr="003E3821" w:rsidRDefault="007F5547" w:rsidP="007F55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14:paraId="661FD913" w14:textId="758987BE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932" w:type="dxa"/>
            <w:vAlign w:val="center"/>
          </w:tcPr>
          <w:p w14:paraId="6ED792AE" w14:textId="6174DE1E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5F2302D0" w14:textId="003E34E6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</w:p>
        </w:tc>
      </w:tr>
      <w:tr w:rsidR="007F5547" w:rsidRPr="00873008" w14:paraId="68966852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7382F37F" w14:textId="2E996633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869" w:type="dxa"/>
            <w:vAlign w:val="center"/>
          </w:tcPr>
          <w:p w14:paraId="01C44E25" w14:textId="4C491713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811" w:type="dxa"/>
            <w:vAlign w:val="center"/>
          </w:tcPr>
          <w:p w14:paraId="62F6906B" w14:textId="2F856FB2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Разработано маршрутов/экскурсий в 2021 году – 1, в 2022 году – 1, в 2023 году – 2, в 2024 году – 2, в 2025 году – 2.</w:t>
            </w:r>
          </w:p>
        </w:tc>
        <w:tc>
          <w:tcPr>
            <w:tcW w:w="3106" w:type="dxa"/>
            <w:vAlign w:val="center"/>
          </w:tcPr>
          <w:p w14:paraId="280F54CE" w14:textId="4CC31243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7C2DDD">
              <w:rPr>
                <w:bCs/>
                <w:color w:val="000000"/>
                <w:sz w:val="22"/>
                <w:szCs w:val="22"/>
              </w:rPr>
              <w:t>маршрутов/ экскурсий</w:t>
            </w:r>
            <w:r w:rsidRPr="0087300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73008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932" w:type="dxa"/>
            <w:vAlign w:val="center"/>
          </w:tcPr>
          <w:p w14:paraId="602FA1D6" w14:textId="125BCD9B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ед.</w:t>
            </w:r>
          </w:p>
        </w:tc>
        <w:tc>
          <w:tcPr>
            <w:tcW w:w="1889" w:type="dxa"/>
            <w:vAlign w:val="center"/>
          </w:tcPr>
          <w:p w14:paraId="6F353DF2" w14:textId="6CC766AB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8</w:t>
            </w:r>
          </w:p>
        </w:tc>
      </w:tr>
      <w:tr w:rsidR="007F5547" w:rsidRPr="00873008" w14:paraId="59DF6CB7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1FEAFA26" w14:textId="58D38C1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2.40.2.</w:t>
            </w:r>
          </w:p>
        </w:tc>
        <w:tc>
          <w:tcPr>
            <w:tcW w:w="3869" w:type="dxa"/>
          </w:tcPr>
          <w:p w14:paraId="148B3A95" w14:textId="7FCE7564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4811" w:type="dxa"/>
            <w:vAlign w:val="center"/>
          </w:tcPr>
          <w:p w14:paraId="3C531123" w14:textId="22A9A389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За период с 2021 года по 2025 год объекты туриндустрии не создавались.</w:t>
            </w:r>
          </w:p>
        </w:tc>
        <w:tc>
          <w:tcPr>
            <w:tcW w:w="3106" w:type="dxa"/>
            <w:vAlign w:val="center"/>
          </w:tcPr>
          <w:p w14:paraId="59C54F98" w14:textId="6EF296C4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32" w:type="dxa"/>
            <w:vAlign w:val="center"/>
          </w:tcPr>
          <w:p w14:paraId="78B7B2D3" w14:textId="615261CD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ед.</w:t>
            </w:r>
          </w:p>
        </w:tc>
        <w:tc>
          <w:tcPr>
            <w:tcW w:w="1889" w:type="dxa"/>
            <w:vAlign w:val="center"/>
          </w:tcPr>
          <w:p w14:paraId="018B58EF" w14:textId="0F92D752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0</w:t>
            </w:r>
          </w:p>
        </w:tc>
      </w:tr>
      <w:tr w:rsidR="007F5547" w:rsidRPr="00873008" w14:paraId="65DD8064" w14:textId="77777777" w:rsidTr="0003467E">
        <w:trPr>
          <w:gridAfter w:val="1"/>
          <w:wAfter w:w="7" w:type="dxa"/>
        </w:trPr>
        <w:tc>
          <w:tcPr>
            <w:tcW w:w="1119" w:type="dxa"/>
            <w:vAlign w:val="center"/>
          </w:tcPr>
          <w:p w14:paraId="351F685C" w14:textId="0393D15D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2.40.3.</w:t>
            </w:r>
          </w:p>
        </w:tc>
        <w:tc>
          <w:tcPr>
            <w:tcW w:w="3869" w:type="dxa"/>
          </w:tcPr>
          <w:p w14:paraId="10F3718F" w14:textId="12160C3F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811" w:type="dxa"/>
            <w:vAlign w:val="center"/>
          </w:tcPr>
          <w:p w14:paraId="66583025" w14:textId="33548AAC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Мероприятие не реализовывалось.</w:t>
            </w:r>
          </w:p>
        </w:tc>
        <w:tc>
          <w:tcPr>
            <w:tcW w:w="3106" w:type="dxa"/>
            <w:vAlign w:val="center"/>
          </w:tcPr>
          <w:p w14:paraId="603BFA4B" w14:textId="77777777" w:rsidR="007F5547" w:rsidRPr="00873008" w:rsidRDefault="007F5547" w:rsidP="007F5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4E818B0C" w14:textId="5E665B61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  <w:tc>
          <w:tcPr>
            <w:tcW w:w="1889" w:type="dxa"/>
            <w:vAlign w:val="center"/>
          </w:tcPr>
          <w:p w14:paraId="77FDFCF0" w14:textId="1A666DC0" w:rsidR="007F5547" w:rsidRPr="00873008" w:rsidRDefault="007F5547" w:rsidP="007F5547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Pr="00873008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9"/>
        <w:gridCol w:w="2657"/>
        <w:gridCol w:w="2868"/>
        <w:gridCol w:w="3435"/>
        <w:gridCol w:w="4125"/>
        <w:gridCol w:w="1531"/>
      </w:tblGrid>
      <w:tr w:rsidR="003829B3" w:rsidRPr="00873008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Pr="00873008" w:rsidRDefault="003829B3" w:rsidP="00C268A4">
            <w:pPr>
              <w:jc w:val="center"/>
              <w:rPr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</w:t>
            </w:r>
            <w:r w:rsidR="00563F22" w:rsidRPr="00873008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873008" w14:paraId="1F4BA3AA" w14:textId="77777777" w:rsidTr="00995DBA">
        <w:trPr>
          <w:trHeight w:val="1518"/>
          <w:tblHeader/>
        </w:trPr>
        <w:tc>
          <w:tcPr>
            <w:tcW w:w="1119" w:type="dxa"/>
            <w:vAlign w:val="center"/>
          </w:tcPr>
          <w:p w14:paraId="277AD5AC" w14:textId="31A4DB33" w:rsidR="00E20B7A" w:rsidRPr="00873008" w:rsidRDefault="00E20B7A" w:rsidP="004158BF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 xml:space="preserve">№ п/п </w:t>
            </w:r>
            <w:r w:rsidRPr="00873008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873008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873008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873008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873008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57" w:type="dxa"/>
            <w:vAlign w:val="center"/>
          </w:tcPr>
          <w:p w14:paraId="2E63EA3F" w14:textId="1727DAA7" w:rsidR="00E20B7A" w:rsidRPr="00873008" w:rsidRDefault="00E20B7A" w:rsidP="004158BF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8" w:type="dxa"/>
            <w:vAlign w:val="center"/>
          </w:tcPr>
          <w:p w14:paraId="0A2FC66E" w14:textId="6C29DA5A" w:rsidR="00E20B7A" w:rsidRPr="00873008" w:rsidRDefault="00E20B7A" w:rsidP="004158BF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873008" w:rsidRDefault="00E20B7A" w:rsidP="004158BF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(</w:t>
            </w:r>
            <w:r w:rsidRPr="00873008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60" w:type="dxa"/>
            <w:gridSpan w:val="2"/>
            <w:vAlign w:val="center"/>
          </w:tcPr>
          <w:p w14:paraId="62C29BC4" w14:textId="099DDA6C" w:rsidR="00E20B7A" w:rsidRPr="00873008" w:rsidRDefault="00E20B7A" w:rsidP="00211524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Данные для расчета показателя</w:t>
            </w:r>
            <w:r w:rsidRPr="00873008">
              <w:rPr>
                <w:b/>
                <w:sz w:val="22"/>
                <w:szCs w:val="22"/>
              </w:rPr>
              <w:t xml:space="preserve"> за январь</w:t>
            </w:r>
            <w:r w:rsidR="00211524" w:rsidRPr="00873008">
              <w:rPr>
                <w:b/>
                <w:sz w:val="22"/>
                <w:szCs w:val="22"/>
              </w:rPr>
              <w:t>–</w:t>
            </w:r>
            <w:r w:rsidR="00812C97" w:rsidRPr="00873008">
              <w:rPr>
                <w:b/>
                <w:sz w:val="22"/>
                <w:szCs w:val="22"/>
              </w:rPr>
              <w:t>декабр</w:t>
            </w:r>
            <w:r w:rsidRPr="00873008">
              <w:rPr>
                <w:b/>
                <w:sz w:val="22"/>
                <w:szCs w:val="22"/>
              </w:rPr>
              <w:t>ь 202</w:t>
            </w:r>
            <w:r w:rsidR="00371AAC" w:rsidRPr="00873008">
              <w:rPr>
                <w:b/>
                <w:sz w:val="22"/>
                <w:szCs w:val="22"/>
              </w:rPr>
              <w:t>5</w:t>
            </w:r>
            <w:r w:rsidRPr="00873008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873008" w:rsidRDefault="00C268A4" w:rsidP="00C268A4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Фактическое значение целевого</w:t>
            </w:r>
          </w:p>
          <w:p w14:paraId="5EDEAACF" w14:textId="58FE6A27" w:rsidR="00E20B7A" w:rsidRPr="00873008" w:rsidRDefault="00C268A4" w:rsidP="00C268A4">
            <w:pPr>
              <w:jc w:val="center"/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показателя</w:t>
            </w:r>
            <w:r w:rsidR="004A4A74" w:rsidRPr="00873008">
              <w:rPr>
                <w:sz w:val="22"/>
                <w:szCs w:val="22"/>
              </w:rPr>
              <w:t>, %</w:t>
            </w:r>
          </w:p>
        </w:tc>
      </w:tr>
      <w:tr w:rsidR="00995DBA" w:rsidRPr="00873008" w14:paraId="57627A0E" w14:textId="77777777" w:rsidTr="00995DBA">
        <w:tc>
          <w:tcPr>
            <w:tcW w:w="1119" w:type="dxa"/>
          </w:tcPr>
          <w:p w14:paraId="058897A4" w14:textId="7FCD04D2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2.13.</w:t>
            </w:r>
          </w:p>
        </w:tc>
        <w:tc>
          <w:tcPr>
            <w:tcW w:w="2657" w:type="dxa"/>
          </w:tcPr>
          <w:p w14:paraId="642E1623" w14:textId="5856C78E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среды*</w:t>
            </w:r>
          </w:p>
        </w:tc>
        <w:tc>
          <w:tcPr>
            <w:tcW w:w="2868" w:type="dxa"/>
          </w:tcPr>
          <w:p w14:paraId="57143952" w14:textId="26855BC2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контрактов), %</w:t>
            </w:r>
          </w:p>
        </w:tc>
        <w:tc>
          <w:tcPr>
            <w:tcW w:w="3435" w:type="dxa"/>
          </w:tcPr>
          <w:p w14:paraId="3DE7DB40" w14:textId="2CFB2FD6" w:rsidR="00995DBA" w:rsidRPr="00873008" w:rsidRDefault="00995DBA" w:rsidP="00995DBA">
            <w:pPr>
              <w:rPr>
                <w:i/>
                <w:iCs/>
                <w:color w:val="7030A0"/>
                <w:sz w:val="20"/>
              </w:rPr>
            </w:pPr>
            <w:r w:rsidRPr="00873008">
              <w:rPr>
                <w:iCs/>
                <w:sz w:val="22"/>
                <w:szCs w:val="22"/>
              </w:rPr>
              <w:t xml:space="preserve">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 – 32,4 </w:t>
            </w:r>
            <w:r w:rsidRPr="00873008">
              <w:rPr>
                <w:bCs/>
                <w:iCs/>
                <w:sz w:val="22"/>
                <w:szCs w:val="22"/>
              </w:rPr>
              <w:t>млн. руб.</w:t>
            </w:r>
          </w:p>
        </w:tc>
        <w:tc>
          <w:tcPr>
            <w:tcW w:w="4125" w:type="dxa"/>
          </w:tcPr>
          <w:p w14:paraId="02D305A3" w14:textId="2A97D846" w:rsidR="00995DBA" w:rsidRPr="00873008" w:rsidRDefault="00995DBA" w:rsidP="00995DBA">
            <w:pPr>
              <w:rPr>
                <w:b/>
                <w:bCs/>
                <w:sz w:val="20"/>
              </w:rPr>
            </w:pPr>
            <w:r w:rsidRPr="00873008">
              <w:rPr>
                <w:iCs/>
                <w:sz w:val="22"/>
                <w:szCs w:val="22"/>
              </w:rPr>
              <w:t xml:space="preserve">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закупок – 39,3 </w:t>
            </w:r>
            <w:r w:rsidRPr="00873008">
              <w:rPr>
                <w:bCs/>
                <w:iCs/>
                <w:sz w:val="22"/>
                <w:szCs w:val="22"/>
              </w:rPr>
              <w:t>млн. руб.</w:t>
            </w:r>
          </w:p>
        </w:tc>
        <w:tc>
          <w:tcPr>
            <w:tcW w:w="1531" w:type="dxa"/>
          </w:tcPr>
          <w:p w14:paraId="748BFA74" w14:textId="55B27A0B" w:rsidR="00995DBA" w:rsidRPr="00873008" w:rsidRDefault="00995DBA" w:rsidP="00995DBA">
            <w:pPr>
              <w:jc w:val="center"/>
              <w:rPr>
                <w:b/>
                <w:bCs/>
                <w:sz w:val="22"/>
                <w:szCs w:val="22"/>
              </w:rPr>
            </w:pPr>
            <w:r w:rsidRPr="00873008">
              <w:rPr>
                <w:bCs/>
                <w:sz w:val="22"/>
                <w:szCs w:val="22"/>
              </w:rPr>
              <w:t>82,4</w:t>
            </w:r>
          </w:p>
        </w:tc>
      </w:tr>
      <w:tr w:rsidR="00995DBA" w:rsidRPr="00873008" w14:paraId="3D17669F" w14:textId="77777777" w:rsidTr="00995DBA">
        <w:tc>
          <w:tcPr>
            <w:tcW w:w="1119" w:type="dxa"/>
          </w:tcPr>
          <w:p w14:paraId="6BF06B74" w14:textId="67473AC1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2.13.4</w:t>
            </w:r>
          </w:p>
        </w:tc>
        <w:tc>
          <w:tcPr>
            <w:tcW w:w="2657" w:type="dxa"/>
          </w:tcPr>
          <w:p w14:paraId="015736C8" w14:textId="4578F86E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Pr="00873008">
              <w:t>*</w:t>
            </w:r>
          </w:p>
        </w:tc>
        <w:tc>
          <w:tcPr>
            <w:tcW w:w="2868" w:type="dxa"/>
          </w:tcPr>
          <w:p w14:paraId="09DD5107" w14:textId="2F41D577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%</w:t>
            </w:r>
          </w:p>
        </w:tc>
        <w:tc>
          <w:tcPr>
            <w:tcW w:w="3435" w:type="dxa"/>
          </w:tcPr>
          <w:p w14:paraId="0A7A4021" w14:textId="5F859FA9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Число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F627ED" w:rsidRPr="00873008">
              <w:rPr>
                <w:iCs/>
                <w:sz w:val="22"/>
                <w:szCs w:val="22"/>
              </w:rPr>
              <w:t xml:space="preserve"> - 11</w:t>
            </w:r>
            <w:r w:rsidRPr="00873008">
              <w:rPr>
                <w:bCs/>
                <w:iCs/>
                <w:sz w:val="22"/>
                <w:szCs w:val="22"/>
              </w:rPr>
              <w:t xml:space="preserve"> ед.</w:t>
            </w:r>
          </w:p>
        </w:tc>
        <w:tc>
          <w:tcPr>
            <w:tcW w:w="4125" w:type="dxa"/>
          </w:tcPr>
          <w:p w14:paraId="0EFAF504" w14:textId="73B74E9B" w:rsidR="00995DBA" w:rsidRPr="00873008" w:rsidRDefault="00995DBA" w:rsidP="00995DBA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Общее число муниципальных контрактов в сфере благоустройства городской среды</w:t>
            </w:r>
            <w:r w:rsidR="00F627ED" w:rsidRPr="00873008">
              <w:rPr>
                <w:bCs/>
                <w:iCs/>
                <w:sz w:val="22"/>
                <w:szCs w:val="22"/>
              </w:rPr>
              <w:t xml:space="preserve"> – 11</w:t>
            </w:r>
            <w:r w:rsidRPr="00873008">
              <w:rPr>
                <w:bCs/>
                <w:iCs/>
                <w:sz w:val="22"/>
                <w:szCs w:val="22"/>
              </w:rPr>
              <w:t xml:space="preserve"> ед.</w:t>
            </w:r>
          </w:p>
        </w:tc>
        <w:tc>
          <w:tcPr>
            <w:tcW w:w="1531" w:type="dxa"/>
          </w:tcPr>
          <w:p w14:paraId="4C964D11" w14:textId="03BB927A" w:rsidR="00995DBA" w:rsidRPr="00873008" w:rsidRDefault="00995DBA" w:rsidP="00995DBA">
            <w:pPr>
              <w:jc w:val="center"/>
              <w:rPr>
                <w:b/>
                <w:bCs/>
                <w:sz w:val="22"/>
                <w:szCs w:val="22"/>
              </w:rPr>
            </w:pPr>
            <w:r w:rsidRPr="00873008">
              <w:rPr>
                <w:bCs/>
                <w:sz w:val="22"/>
                <w:szCs w:val="22"/>
              </w:rPr>
              <w:t>100</w:t>
            </w:r>
          </w:p>
        </w:tc>
      </w:tr>
      <w:tr w:rsidR="00F8505D" w:rsidRPr="00873008" w14:paraId="5BA22D33" w14:textId="77777777" w:rsidTr="00995DBA">
        <w:tc>
          <w:tcPr>
            <w:tcW w:w="1119" w:type="dxa"/>
          </w:tcPr>
          <w:p w14:paraId="120434B1" w14:textId="77777777" w:rsidR="00F8505D" w:rsidRPr="00873008" w:rsidRDefault="00F8505D" w:rsidP="00535292">
            <w:pPr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t>2.18.</w:t>
            </w:r>
          </w:p>
        </w:tc>
        <w:tc>
          <w:tcPr>
            <w:tcW w:w="2657" w:type="dxa"/>
          </w:tcPr>
          <w:p w14:paraId="46661C34" w14:textId="77777777" w:rsidR="00F8505D" w:rsidRPr="00873008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 xml:space="preserve">Рынок оказания услуг по перевозке пассажиров автомобильным транспортом по </w:t>
            </w:r>
            <w:r w:rsidRPr="00873008">
              <w:rPr>
                <w:b/>
                <w:bCs/>
                <w:sz w:val="22"/>
                <w:szCs w:val="22"/>
              </w:rPr>
              <w:lastRenderedPageBreak/>
              <w:t>муниципальным маршрутам регулярных перевозок</w:t>
            </w:r>
          </w:p>
        </w:tc>
        <w:tc>
          <w:tcPr>
            <w:tcW w:w="2868" w:type="dxa"/>
          </w:tcPr>
          <w:p w14:paraId="5654CFAE" w14:textId="77777777" w:rsidR="00F8505D" w:rsidRPr="00873008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lastRenderedPageBreak/>
              <w:t xml:space="preserve">Доля услуг по перевозке пассажиров автомобильным транспортом по муниципальным </w:t>
            </w:r>
            <w:r w:rsidRPr="00873008">
              <w:rPr>
                <w:color w:val="000000"/>
                <w:sz w:val="22"/>
                <w:szCs w:val="22"/>
              </w:rPr>
              <w:lastRenderedPageBreak/>
              <w:t>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3435" w:type="dxa"/>
          </w:tcPr>
          <w:p w14:paraId="0EB0296B" w14:textId="4D142250" w:rsidR="00F8505D" w:rsidRPr="00873008" w:rsidRDefault="00BD38B5" w:rsidP="00535292">
            <w:pPr>
              <w:rPr>
                <w:i/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lastRenderedPageBreak/>
              <w:t xml:space="preserve">Количество перевезенных пассажиров организациями частной формы собственности - 253400 </w:t>
            </w:r>
            <w:r w:rsidRPr="00873008">
              <w:rPr>
                <w:bCs/>
                <w:iCs/>
                <w:sz w:val="22"/>
                <w:szCs w:val="22"/>
              </w:rPr>
              <w:t>чел.</w:t>
            </w:r>
          </w:p>
        </w:tc>
        <w:tc>
          <w:tcPr>
            <w:tcW w:w="4125" w:type="dxa"/>
          </w:tcPr>
          <w:p w14:paraId="1731B43B" w14:textId="4EC53B5E" w:rsidR="00F8505D" w:rsidRPr="00873008" w:rsidRDefault="00F8505D" w:rsidP="00535292">
            <w:pPr>
              <w:rPr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 xml:space="preserve">Указывается общее количество перевезенных пассажиров всеми хозяйствующими субъектами (за исключением хозяйствующих субъектов с долей участия РФ более 50%, </w:t>
            </w:r>
            <w:r w:rsidRPr="00873008">
              <w:rPr>
                <w:iCs/>
                <w:sz w:val="22"/>
                <w:szCs w:val="22"/>
              </w:rPr>
              <w:lastRenderedPageBreak/>
              <w:t>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</w:t>
            </w:r>
            <w:r w:rsidR="00BD38B5" w:rsidRPr="00873008">
              <w:rPr>
                <w:iCs/>
                <w:sz w:val="22"/>
                <w:szCs w:val="22"/>
              </w:rPr>
              <w:t xml:space="preserve"> 253400</w:t>
            </w:r>
            <w:r w:rsidRPr="00873008">
              <w:rPr>
                <w:iCs/>
                <w:sz w:val="22"/>
                <w:szCs w:val="22"/>
              </w:rPr>
              <w:t xml:space="preserve"> </w:t>
            </w:r>
            <w:r w:rsidRPr="00873008">
              <w:rPr>
                <w:bCs/>
                <w:iCs/>
                <w:sz w:val="22"/>
                <w:szCs w:val="22"/>
              </w:rPr>
              <w:t>чел.</w:t>
            </w:r>
          </w:p>
        </w:tc>
        <w:tc>
          <w:tcPr>
            <w:tcW w:w="1531" w:type="dxa"/>
          </w:tcPr>
          <w:p w14:paraId="68DC0469" w14:textId="74A87F53" w:rsidR="00F8505D" w:rsidRPr="007C2DDD" w:rsidRDefault="00BD38B5" w:rsidP="00535292">
            <w:pPr>
              <w:jc w:val="center"/>
              <w:rPr>
                <w:bCs/>
                <w:sz w:val="22"/>
                <w:szCs w:val="22"/>
              </w:rPr>
            </w:pPr>
            <w:r w:rsidRPr="007C2DDD">
              <w:rPr>
                <w:bCs/>
                <w:sz w:val="22"/>
                <w:szCs w:val="22"/>
              </w:rPr>
              <w:lastRenderedPageBreak/>
              <w:t>100</w:t>
            </w:r>
          </w:p>
        </w:tc>
      </w:tr>
      <w:tr w:rsidR="00AF572C" w:rsidRPr="00873008" w14:paraId="60E60A8E" w14:textId="77777777" w:rsidTr="00995DBA">
        <w:tc>
          <w:tcPr>
            <w:tcW w:w="1119" w:type="dxa"/>
          </w:tcPr>
          <w:p w14:paraId="5087DE5E" w14:textId="3DB7D858" w:rsidR="00AF572C" w:rsidRPr="00873008" w:rsidRDefault="005C0777" w:rsidP="004158BF">
            <w:pPr>
              <w:rPr>
                <w:sz w:val="22"/>
                <w:szCs w:val="22"/>
              </w:rPr>
            </w:pPr>
            <w:r w:rsidRPr="00873008">
              <w:rPr>
                <w:sz w:val="22"/>
                <w:szCs w:val="22"/>
              </w:rPr>
              <w:lastRenderedPageBreak/>
              <w:t>2.</w:t>
            </w:r>
            <w:r w:rsidR="00F8505D" w:rsidRPr="00873008">
              <w:rPr>
                <w:sz w:val="22"/>
                <w:szCs w:val="22"/>
              </w:rPr>
              <w:t>3</w:t>
            </w:r>
            <w:r w:rsidRPr="00873008">
              <w:rPr>
                <w:sz w:val="22"/>
                <w:szCs w:val="22"/>
              </w:rPr>
              <w:t>8.</w:t>
            </w:r>
          </w:p>
        </w:tc>
        <w:tc>
          <w:tcPr>
            <w:tcW w:w="2657" w:type="dxa"/>
          </w:tcPr>
          <w:p w14:paraId="076A9C23" w14:textId="1B5A2B8A" w:rsidR="00AF572C" w:rsidRPr="00873008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8" w:type="dxa"/>
          </w:tcPr>
          <w:p w14:paraId="1FF491FB" w14:textId="3BB38040" w:rsidR="00AF572C" w:rsidRPr="00873008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873008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35" w:type="dxa"/>
          </w:tcPr>
          <w:p w14:paraId="0491048F" w14:textId="20D1BBD7" w:rsidR="00AF572C" w:rsidRPr="00873008" w:rsidRDefault="003E0A22" w:rsidP="004158BF">
            <w:pPr>
              <w:rPr>
                <w:iCs/>
                <w:color w:val="7030A0"/>
                <w:sz w:val="22"/>
                <w:szCs w:val="22"/>
              </w:rPr>
            </w:pPr>
            <w:r w:rsidRPr="00873008">
              <w:rPr>
                <w:iCs/>
                <w:sz w:val="22"/>
                <w:szCs w:val="22"/>
              </w:rPr>
              <w:t>К</w:t>
            </w:r>
            <w:r w:rsidR="005C0777" w:rsidRPr="00873008">
              <w:rPr>
                <w:iCs/>
                <w:sz w:val="22"/>
                <w:szCs w:val="22"/>
              </w:rPr>
              <w:t xml:space="preserve">оличество </w:t>
            </w:r>
            <w:r w:rsidR="00F8505D" w:rsidRPr="00873008">
              <w:rPr>
                <w:iCs/>
                <w:sz w:val="22"/>
                <w:szCs w:val="22"/>
              </w:rPr>
              <w:t>организаций частной формы собственности в сфере наружной рекламы</w:t>
            </w:r>
            <w:r w:rsidRPr="00873008">
              <w:rPr>
                <w:iCs/>
                <w:sz w:val="22"/>
                <w:szCs w:val="22"/>
              </w:rPr>
              <w:t xml:space="preserve"> </w:t>
            </w:r>
            <w:r w:rsidR="0040063B" w:rsidRPr="00873008">
              <w:rPr>
                <w:iCs/>
                <w:sz w:val="22"/>
                <w:szCs w:val="22"/>
              </w:rPr>
              <w:t>–</w:t>
            </w:r>
            <w:r w:rsidR="00F8505D" w:rsidRPr="00873008">
              <w:rPr>
                <w:iCs/>
                <w:sz w:val="22"/>
                <w:szCs w:val="22"/>
              </w:rPr>
              <w:t xml:space="preserve"> </w:t>
            </w:r>
            <w:r w:rsidR="0040063B" w:rsidRPr="00873008">
              <w:rPr>
                <w:iCs/>
                <w:sz w:val="22"/>
                <w:szCs w:val="22"/>
              </w:rPr>
              <w:t xml:space="preserve">0 </w:t>
            </w:r>
            <w:r w:rsidR="00F8505D" w:rsidRPr="007C2DDD">
              <w:rPr>
                <w:bCs/>
                <w:iCs/>
                <w:sz w:val="22"/>
                <w:szCs w:val="22"/>
              </w:rPr>
              <w:t>ед.</w:t>
            </w:r>
          </w:p>
        </w:tc>
        <w:tc>
          <w:tcPr>
            <w:tcW w:w="4125" w:type="dxa"/>
          </w:tcPr>
          <w:p w14:paraId="4A68822B" w14:textId="50F289B4" w:rsidR="00AF572C" w:rsidRPr="007C2DDD" w:rsidRDefault="003E0A22" w:rsidP="003E0A22">
            <w:pPr>
              <w:rPr>
                <w:iCs/>
                <w:sz w:val="22"/>
                <w:szCs w:val="22"/>
              </w:rPr>
            </w:pPr>
            <w:r w:rsidRPr="007C2DDD">
              <w:rPr>
                <w:iCs/>
                <w:sz w:val="22"/>
                <w:szCs w:val="22"/>
              </w:rPr>
              <w:t>О</w:t>
            </w:r>
            <w:r w:rsidR="00C5739F" w:rsidRPr="007C2DDD">
              <w:rPr>
                <w:iCs/>
                <w:sz w:val="22"/>
                <w:szCs w:val="22"/>
              </w:rPr>
              <w:t xml:space="preserve">бщее количество </w:t>
            </w:r>
            <w:r w:rsidR="00F8505D" w:rsidRPr="007C2DDD">
              <w:rPr>
                <w:iCs/>
                <w:sz w:val="22"/>
                <w:szCs w:val="22"/>
              </w:rPr>
              <w:t>организаций частной формы собственности в сфере наружной рекламы,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</w:t>
            </w:r>
            <w:r w:rsidRPr="007C2DDD">
              <w:rPr>
                <w:iCs/>
                <w:sz w:val="22"/>
                <w:szCs w:val="22"/>
              </w:rPr>
              <w:t xml:space="preserve">едеральных казенных учреждений) – 0 </w:t>
            </w:r>
            <w:r w:rsidR="00F8505D" w:rsidRPr="007C2DDD">
              <w:rPr>
                <w:iCs/>
                <w:sz w:val="22"/>
                <w:szCs w:val="22"/>
              </w:rPr>
              <w:t xml:space="preserve"> </w:t>
            </w:r>
            <w:r w:rsidR="00F8505D" w:rsidRPr="007C2DDD">
              <w:rPr>
                <w:bCs/>
                <w:iCs/>
                <w:sz w:val="22"/>
                <w:szCs w:val="22"/>
              </w:rPr>
              <w:t>ед.</w:t>
            </w:r>
          </w:p>
        </w:tc>
        <w:tc>
          <w:tcPr>
            <w:tcW w:w="1531" w:type="dxa"/>
          </w:tcPr>
          <w:p w14:paraId="26568982" w14:textId="43FA53F7" w:rsidR="00AF572C" w:rsidRPr="007C2DDD" w:rsidRDefault="003E0A22" w:rsidP="00C5739F">
            <w:pPr>
              <w:jc w:val="center"/>
              <w:rPr>
                <w:bCs/>
                <w:sz w:val="22"/>
                <w:szCs w:val="22"/>
              </w:rPr>
            </w:pPr>
            <w:r w:rsidRPr="007C2DDD">
              <w:rPr>
                <w:bCs/>
                <w:sz w:val="22"/>
                <w:szCs w:val="22"/>
              </w:rPr>
              <w:t>0</w:t>
            </w:r>
          </w:p>
        </w:tc>
      </w:tr>
    </w:tbl>
    <w:p w14:paraId="4373B638" w14:textId="77777777" w:rsidR="0017222B" w:rsidRPr="00873008" w:rsidRDefault="0017222B" w:rsidP="0017222B"/>
    <w:p w14:paraId="2DE24D28" w14:textId="4688451B" w:rsidR="005158CE" w:rsidRDefault="0017222B" w:rsidP="0017222B">
      <w:r w:rsidRPr="00873008">
        <w:t xml:space="preserve">* </w:t>
      </w:r>
      <w:r w:rsidRPr="00873008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1232/18).</w:t>
      </w:r>
    </w:p>
    <w:sectPr w:rsidR="005158CE" w:rsidSect="00A51BE9">
      <w:headerReference w:type="default" r:id="rId12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0BAA8" w14:textId="77777777" w:rsidR="00525E9B" w:rsidRDefault="00525E9B" w:rsidP="00610F1A">
      <w:r>
        <w:separator/>
      </w:r>
    </w:p>
  </w:endnote>
  <w:endnote w:type="continuationSeparator" w:id="0">
    <w:p w14:paraId="76614620" w14:textId="77777777" w:rsidR="00525E9B" w:rsidRDefault="00525E9B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C751" w14:textId="77777777" w:rsidR="00525E9B" w:rsidRDefault="00525E9B" w:rsidP="00610F1A">
      <w:r>
        <w:separator/>
      </w:r>
    </w:p>
  </w:footnote>
  <w:footnote w:type="continuationSeparator" w:id="0">
    <w:p w14:paraId="4CEFA9CD" w14:textId="77777777" w:rsidR="00525E9B" w:rsidRDefault="00525E9B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473A7C3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862">
          <w:rPr>
            <w:noProof/>
          </w:rPr>
          <w:t>11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3467E"/>
    <w:rsid w:val="0005622B"/>
    <w:rsid w:val="00083C3E"/>
    <w:rsid w:val="000A62C9"/>
    <w:rsid w:val="000C4E1A"/>
    <w:rsid w:val="000D0F52"/>
    <w:rsid w:val="000E230A"/>
    <w:rsid w:val="00105362"/>
    <w:rsid w:val="00142141"/>
    <w:rsid w:val="00151805"/>
    <w:rsid w:val="001576E9"/>
    <w:rsid w:val="00162413"/>
    <w:rsid w:val="0017222B"/>
    <w:rsid w:val="0018132A"/>
    <w:rsid w:val="00196448"/>
    <w:rsid w:val="001E31F3"/>
    <w:rsid w:val="00206968"/>
    <w:rsid w:val="00206F53"/>
    <w:rsid w:val="00211524"/>
    <w:rsid w:val="00231DE4"/>
    <w:rsid w:val="0023401F"/>
    <w:rsid w:val="002463ED"/>
    <w:rsid w:val="00257425"/>
    <w:rsid w:val="00283DD7"/>
    <w:rsid w:val="002A3ECB"/>
    <w:rsid w:val="002A4715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5767"/>
    <w:rsid w:val="00351A5C"/>
    <w:rsid w:val="003578A7"/>
    <w:rsid w:val="003717A7"/>
    <w:rsid w:val="00371AAC"/>
    <w:rsid w:val="003829B3"/>
    <w:rsid w:val="003B31F5"/>
    <w:rsid w:val="003B5BD5"/>
    <w:rsid w:val="003E0A22"/>
    <w:rsid w:val="003E3821"/>
    <w:rsid w:val="003F2F62"/>
    <w:rsid w:val="0040063B"/>
    <w:rsid w:val="0041570F"/>
    <w:rsid w:val="004158BF"/>
    <w:rsid w:val="00422499"/>
    <w:rsid w:val="00423B0D"/>
    <w:rsid w:val="00493C8B"/>
    <w:rsid w:val="00495880"/>
    <w:rsid w:val="004A4A74"/>
    <w:rsid w:val="004F437C"/>
    <w:rsid w:val="00500466"/>
    <w:rsid w:val="00500CC5"/>
    <w:rsid w:val="005158CE"/>
    <w:rsid w:val="00520162"/>
    <w:rsid w:val="00521137"/>
    <w:rsid w:val="00525E67"/>
    <w:rsid w:val="00525E9B"/>
    <w:rsid w:val="00535BD4"/>
    <w:rsid w:val="00551487"/>
    <w:rsid w:val="00560E9B"/>
    <w:rsid w:val="00563F22"/>
    <w:rsid w:val="005817E1"/>
    <w:rsid w:val="00582AB6"/>
    <w:rsid w:val="005C0777"/>
    <w:rsid w:val="005C38AC"/>
    <w:rsid w:val="00610F1A"/>
    <w:rsid w:val="006114CF"/>
    <w:rsid w:val="00671976"/>
    <w:rsid w:val="0069644C"/>
    <w:rsid w:val="006A720D"/>
    <w:rsid w:val="006D30F3"/>
    <w:rsid w:val="006E4AAB"/>
    <w:rsid w:val="006F1798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C2DDD"/>
    <w:rsid w:val="007E3583"/>
    <w:rsid w:val="007F5547"/>
    <w:rsid w:val="00812C97"/>
    <w:rsid w:val="0081333A"/>
    <w:rsid w:val="0081360D"/>
    <w:rsid w:val="00821F08"/>
    <w:rsid w:val="00824CC1"/>
    <w:rsid w:val="00854A1A"/>
    <w:rsid w:val="008670DA"/>
    <w:rsid w:val="00873008"/>
    <w:rsid w:val="00894862"/>
    <w:rsid w:val="00896DF3"/>
    <w:rsid w:val="008B3175"/>
    <w:rsid w:val="008C66CB"/>
    <w:rsid w:val="008D4DEC"/>
    <w:rsid w:val="009100F9"/>
    <w:rsid w:val="009113E2"/>
    <w:rsid w:val="00916376"/>
    <w:rsid w:val="00961EFB"/>
    <w:rsid w:val="00962391"/>
    <w:rsid w:val="00973C09"/>
    <w:rsid w:val="00985F26"/>
    <w:rsid w:val="00995DBA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F572C"/>
    <w:rsid w:val="00B216FA"/>
    <w:rsid w:val="00B462B7"/>
    <w:rsid w:val="00B5137C"/>
    <w:rsid w:val="00B54617"/>
    <w:rsid w:val="00B65699"/>
    <w:rsid w:val="00B83E2D"/>
    <w:rsid w:val="00B9269E"/>
    <w:rsid w:val="00B978DB"/>
    <w:rsid w:val="00BB07EB"/>
    <w:rsid w:val="00BD38B5"/>
    <w:rsid w:val="00BD58D7"/>
    <w:rsid w:val="00BF1C30"/>
    <w:rsid w:val="00C00540"/>
    <w:rsid w:val="00C06997"/>
    <w:rsid w:val="00C17DFB"/>
    <w:rsid w:val="00C268A4"/>
    <w:rsid w:val="00C5739F"/>
    <w:rsid w:val="00C5785A"/>
    <w:rsid w:val="00C75372"/>
    <w:rsid w:val="00CA3E56"/>
    <w:rsid w:val="00CC7A0B"/>
    <w:rsid w:val="00CD0669"/>
    <w:rsid w:val="00CD66A3"/>
    <w:rsid w:val="00CE1E12"/>
    <w:rsid w:val="00DA360F"/>
    <w:rsid w:val="00DA37B4"/>
    <w:rsid w:val="00DA38EC"/>
    <w:rsid w:val="00DC2F09"/>
    <w:rsid w:val="00DC5344"/>
    <w:rsid w:val="00DE4856"/>
    <w:rsid w:val="00DF2091"/>
    <w:rsid w:val="00E0046D"/>
    <w:rsid w:val="00E029DD"/>
    <w:rsid w:val="00E14314"/>
    <w:rsid w:val="00E15963"/>
    <w:rsid w:val="00E20B7A"/>
    <w:rsid w:val="00E342B5"/>
    <w:rsid w:val="00E677A6"/>
    <w:rsid w:val="00E83FF8"/>
    <w:rsid w:val="00E866F7"/>
    <w:rsid w:val="00E874BA"/>
    <w:rsid w:val="00EE2FDD"/>
    <w:rsid w:val="00EF3108"/>
    <w:rsid w:val="00EF73AC"/>
    <w:rsid w:val="00F00EDA"/>
    <w:rsid w:val="00F130A5"/>
    <w:rsid w:val="00F15D30"/>
    <w:rsid w:val="00F22C69"/>
    <w:rsid w:val="00F22C73"/>
    <w:rsid w:val="00F35C5E"/>
    <w:rsid w:val="00F4660D"/>
    <w:rsid w:val="00F627ED"/>
    <w:rsid w:val="00F708C8"/>
    <w:rsid w:val="00F71603"/>
    <w:rsid w:val="00F8505D"/>
    <w:rsid w:val="00F95307"/>
    <w:rsid w:val="00FA018B"/>
    <w:rsid w:val="00FB1756"/>
    <w:rsid w:val="00FB625C"/>
    <w:rsid w:val="00FB69D3"/>
    <w:rsid w:val="00FC125B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578A7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7425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96DF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6DF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activity/1838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koyanov.nobl.ru/activity/5209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ukoyanov.nobl.ru/documents/other/1445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koyanov.nobl.ru/documents/other/1585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440FF-3B65-49E0-978D-0D7ADBA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11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Экономика1</cp:lastModifiedBy>
  <cp:revision>61</cp:revision>
  <cp:lastPrinted>2026-01-30T13:34:00Z</cp:lastPrinted>
  <dcterms:created xsi:type="dcterms:W3CDTF">2024-12-23T13:07:00Z</dcterms:created>
  <dcterms:modified xsi:type="dcterms:W3CDTF">2026-02-02T08:27:00Z</dcterms:modified>
</cp:coreProperties>
</file>